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527B8C" w:rsidRDefault="00212A57" w14:paraId="4291247A" w14:textId="77777777">
      <w:pPr>
        <w:spacing w:after="0" w:line="240" w:lineRule="auto"/>
        <w:jc w:val="center"/>
      </w:pPr>
      <w:r>
        <w:rPr>
          <w:noProof/>
        </w:rPr>
        <w:drawing>
          <wp:anchor distT="0" distB="0" distL="114300" distR="114300" simplePos="0" relativeHeight="251660288" behindDoc="0" locked="0" layoutInCell="1" allowOverlap="1" wp14:anchorId="7E6270C4" wp14:editId="09B70818">
            <wp:simplePos x="0" y="0"/>
            <wp:positionH relativeFrom="column">
              <wp:posOffset>-923925</wp:posOffset>
            </wp:positionH>
            <wp:positionV relativeFrom="paragraph">
              <wp:posOffset>-962025</wp:posOffset>
            </wp:positionV>
            <wp:extent cx="7874635" cy="14378940"/>
            <wp:effectExtent l="0" t="0" r="0" b="3810"/>
            <wp:wrapNone/>
            <wp:docPr id="1134536939" name="drawing"/>
            <wp:cNvGraphicFramePr>
              <a:graphicFrameLocks xmlns:a="http://schemas.openxmlformats.org/drawingml/2006/main" noChangeAspect="1"/>
            </wp:cNvGraphicFramePr>
            <a:graphic xmlns:a="http://schemas.openxmlformats.org/drawingml/2006/main">
              <a:graphicData xmlns:a="http://schemas.openxmlformats.org/drawingml/2006/main" uri="http://schemas.openxmlformats.org/drawingml/2006/picture">
                <pic:pic xmlns:pic="http://schemas.openxmlformats.org/drawingml/2006/picture">
                  <pic:nvPicPr>
                    <pic:cNvPr id="1134536939" name="drawing"/>
                    <pic:cNvPicPr>
                      <a:picLocks noChangeAspect="1"/>
                    </pic:cNvPicPr>
                  </pic:nvPicPr>
                  <pic:blipFill>
                    <a:blip xmlns:r="http://schemas.openxmlformats.org/officeDocument/2006/relationships" r:embed="rId12"/>
                    <a:stretch>
                      <a:fillRect/>
                    </a:stretch>
                  </pic:blipFill>
                  <pic:spPr>
                    <a:xfrm>
                      <a:off x="0" y="0"/>
                      <a:ext cx="7874635" cy="14378940"/>
                    </a:xfrm>
                    <a:prstGeom prst="rect">
                      <a:avLst/>
                    </a:prstGeom>
                  </pic:spPr>
                </pic:pic>
              </a:graphicData>
            </a:graphic>
          </wp:anchor>
        </w:drawing>
      </w:r>
    </w:p>
    <w:p w:rsidR="00527B8C" w:rsidRDefault="00527B8C" w14:paraId="55312A18" w14:textId="77777777">
      <w:pPr>
        <w:spacing w:after="0" w:line="240" w:lineRule="auto"/>
        <w:jc w:val="center"/>
      </w:pPr>
    </w:p>
    <w:p w:rsidR="00527B8C" w:rsidRDefault="00527B8C" w14:paraId="5A28C963" w14:textId="77777777">
      <w:pPr>
        <w:spacing w:after="0" w:line="240" w:lineRule="auto"/>
        <w:jc w:val="center"/>
      </w:pPr>
    </w:p>
    <w:p w:rsidR="00527B8C" w:rsidRDefault="00527B8C" w14:paraId="69C2BFAB" w14:textId="77777777">
      <w:pPr>
        <w:spacing w:after="0" w:line="240" w:lineRule="auto"/>
        <w:jc w:val="center"/>
      </w:pPr>
    </w:p>
    <w:p w:rsidR="00527B8C" w:rsidRDefault="00527B8C" w14:paraId="6F3FE1C1" w14:textId="77777777">
      <w:pPr>
        <w:spacing w:after="0" w:line="240" w:lineRule="auto"/>
        <w:jc w:val="center"/>
      </w:pPr>
    </w:p>
    <w:p w:rsidR="00527B8C" w:rsidRDefault="00527B8C" w14:paraId="00C492C4" w14:textId="77777777">
      <w:pPr>
        <w:spacing w:after="0" w:line="240" w:lineRule="auto"/>
        <w:jc w:val="center"/>
      </w:pPr>
    </w:p>
    <w:p w:rsidR="00527B8C" w:rsidRDefault="00527B8C" w14:paraId="103F212E" w14:textId="77777777">
      <w:pPr>
        <w:spacing w:after="0" w:line="240" w:lineRule="auto"/>
        <w:jc w:val="center"/>
      </w:pPr>
    </w:p>
    <w:p w:rsidR="00527B8C" w:rsidRDefault="00527B8C" w14:paraId="60E8891F" w14:textId="77777777">
      <w:pPr>
        <w:spacing w:after="0" w:line="240" w:lineRule="auto"/>
        <w:jc w:val="center"/>
      </w:pPr>
    </w:p>
    <w:p w:rsidR="00527B8C" w:rsidRDefault="00527B8C" w14:paraId="53E1646E" w14:textId="77777777">
      <w:pPr>
        <w:spacing w:after="0" w:line="240" w:lineRule="auto"/>
        <w:jc w:val="center"/>
      </w:pPr>
    </w:p>
    <w:p w:rsidR="00527B8C" w:rsidRDefault="00527B8C" w14:paraId="08D6C35B" w14:textId="77777777">
      <w:pPr>
        <w:spacing w:after="0" w:line="240" w:lineRule="auto"/>
        <w:jc w:val="center"/>
      </w:pPr>
    </w:p>
    <w:p w:rsidR="00527B8C" w:rsidRDefault="00527B8C" w14:paraId="3211230C" w14:textId="77777777">
      <w:pPr>
        <w:spacing w:after="0" w:line="240" w:lineRule="auto"/>
        <w:jc w:val="center"/>
      </w:pPr>
    </w:p>
    <w:p w:rsidR="00527B8C" w:rsidRDefault="00527B8C" w14:paraId="567A448C" w14:textId="77777777">
      <w:pPr>
        <w:spacing w:after="0" w:line="240" w:lineRule="auto"/>
        <w:jc w:val="center"/>
      </w:pPr>
    </w:p>
    <w:p w:rsidR="00527B8C" w:rsidRDefault="00527B8C" w14:paraId="2BA489C0" w14:textId="77777777">
      <w:pPr>
        <w:spacing w:after="0" w:line="240" w:lineRule="auto"/>
        <w:jc w:val="center"/>
      </w:pPr>
    </w:p>
    <w:p w:rsidR="00527B8C" w:rsidRDefault="00527B8C" w14:paraId="62454AE3" w14:textId="77777777">
      <w:pPr>
        <w:spacing w:after="0" w:line="240" w:lineRule="auto"/>
        <w:jc w:val="center"/>
      </w:pPr>
    </w:p>
    <w:p w:rsidR="00527B8C" w:rsidRDefault="00527B8C" w14:paraId="1756D2E4" w14:textId="77777777">
      <w:pPr>
        <w:spacing w:after="0" w:line="240" w:lineRule="auto"/>
        <w:jc w:val="center"/>
      </w:pPr>
    </w:p>
    <w:p w:rsidR="00527B8C" w:rsidRDefault="00527B8C" w14:paraId="78E521EF" w14:textId="77777777">
      <w:pPr>
        <w:spacing w:after="0" w:line="240" w:lineRule="auto"/>
        <w:jc w:val="center"/>
      </w:pPr>
    </w:p>
    <w:p w:rsidR="00527B8C" w:rsidRDefault="00527B8C" w14:paraId="0953B501" w14:textId="77777777">
      <w:pPr>
        <w:spacing w:after="0" w:line="240" w:lineRule="auto"/>
        <w:jc w:val="center"/>
      </w:pPr>
    </w:p>
    <w:p w:rsidR="00527B8C" w:rsidRDefault="00527B8C" w14:paraId="6B539F7B" w14:textId="77777777">
      <w:pPr>
        <w:spacing w:after="0" w:line="240" w:lineRule="auto"/>
        <w:jc w:val="center"/>
      </w:pPr>
    </w:p>
    <w:p w:rsidR="00527B8C" w:rsidRDefault="00527B8C" w14:paraId="021A33C3" w14:textId="77777777">
      <w:pPr>
        <w:spacing w:after="0" w:line="240" w:lineRule="auto"/>
        <w:jc w:val="center"/>
      </w:pPr>
    </w:p>
    <w:p w:rsidR="00527B8C" w:rsidRDefault="00527B8C" w14:paraId="42407FE7" w14:textId="77777777">
      <w:pPr>
        <w:spacing w:after="0" w:line="240" w:lineRule="auto"/>
        <w:jc w:val="center"/>
      </w:pPr>
    </w:p>
    <w:p w:rsidR="00527B8C" w:rsidRDefault="00527B8C" w14:paraId="3F77A660" w14:textId="77777777">
      <w:pPr>
        <w:spacing w:after="0" w:line="240" w:lineRule="auto"/>
        <w:jc w:val="center"/>
      </w:pPr>
    </w:p>
    <w:p w:rsidR="00527B8C" w:rsidRDefault="00527B8C" w14:paraId="6C36791A" w14:textId="77777777">
      <w:pPr>
        <w:spacing w:after="0" w:line="240" w:lineRule="auto"/>
        <w:jc w:val="center"/>
      </w:pPr>
    </w:p>
    <w:p w:rsidR="00527B8C" w:rsidRDefault="00527B8C" w14:paraId="00D0DE8C" w14:textId="77777777">
      <w:pPr>
        <w:spacing w:after="0" w:line="240" w:lineRule="auto"/>
        <w:jc w:val="center"/>
      </w:pPr>
    </w:p>
    <w:p w:rsidR="00527B8C" w:rsidRDefault="00527B8C" w14:paraId="67F65D53" w14:textId="77777777">
      <w:pPr>
        <w:spacing w:after="0" w:line="240" w:lineRule="auto"/>
        <w:jc w:val="center"/>
      </w:pPr>
    </w:p>
    <w:p w:rsidR="00527B8C" w:rsidRDefault="00527B8C" w14:paraId="71672965" w14:textId="77777777">
      <w:pPr>
        <w:spacing w:after="0" w:line="240" w:lineRule="auto"/>
        <w:jc w:val="center"/>
      </w:pPr>
    </w:p>
    <w:p w:rsidR="00527B8C" w:rsidRDefault="00527B8C" w14:paraId="1DABF0BE" w14:textId="77777777">
      <w:pPr>
        <w:spacing w:after="0" w:line="240" w:lineRule="auto"/>
        <w:jc w:val="center"/>
      </w:pPr>
    </w:p>
    <w:p w:rsidR="00527B8C" w:rsidRDefault="00527B8C" w14:paraId="683F75F9" w14:textId="77777777">
      <w:pPr>
        <w:spacing w:after="0" w:line="240" w:lineRule="auto"/>
        <w:jc w:val="center"/>
      </w:pPr>
    </w:p>
    <w:p w:rsidR="00527B8C" w:rsidRDefault="00527B8C" w14:paraId="659DC033" w14:textId="77777777">
      <w:pPr>
        <w:spacing w:after="0" w:line="240" w:lineRule="auto"/>
        <w:jc w:val="center"/>
      </w:pPr>
    </w:p>
    <w:p w:rsidR="00527B8C" w:rsidRDefault="00527B8C" w14:paraId="6FE35032" w14:textId="77777777">
      <w:pPr>
        <w:spacing w:after="0" w:line="240" w:lineRule="auto"/>
        <w:jc w:val="center"/>
      </w:pPr>
    </w:p>
    <w:p w:rsidR="00527B8C" w:rsidRDefault="00527B8C" w14:paraId="7E888F0A" w14:textId="77777777">
      <w:pPr>
        <w:spacing w:after="0" w:line="240" w:lineRule="auto"/>
        <w:jc w:val="center"/>
      </w:pPr>
    </w:p>
    <w:p w:rsidR="00527B8C" w:rsidRDefault="00527B8C" w14:paraId="57E45CA8" w14:textId="77777777">
      <w:pPr>
        <w:spacing w:after="0" w:line="240" w:lineRule="auto"/>
        <w:jc w:val="center"/>
      </w:pPr>
    </w:p>
    <w:p w:rsidR="00527B8C" w:rsidRDefault="00527B8C" w14:paraId="6EC373C4" w14:textId="77777777">
      <w:pPr>
        <w:spacing w:after="0" w:line="240" w:lineRule="auto"/>
        <w:jc w:val="center"/>
      </w:pPr>
    </w:p>
    <w:p w:rsidR="00527B8C" w:rsidRDefault="00527B8C" w14:paraId="5B3D2521" w14:textId="77777777">
      <w:pPr>
        <w:spacing w:after="0" w:line="240" w:lineRule="auto"/>
        <w:jc w:val="center"/>
      </w:pPr>
    </w:p>
    <w:p w:rsidR="00527B8C" w:rsidRDefault="00527B8C" w14:paraId="53C657CD" w14:textId="77777777">
      <w:pPr>
        <w:spacing w:after="0" w:line="240" w:lineRule="auto"/>
        <w:jc w:val="center"/>
      </w:pPr>
    </w:p>
    <w:p w:rsidR="00527B8C" w:rsidRDefault="00527B8C" w14:paraId="7B233420" w14:textId="77777777">
      <w:pPr>
        <w:spacing w:after="0" w:line="240" w:lineRule="auto"/>
        <w:jc w:val="center"/>
      </w:pPr>
    </w:p>
    <w:p w:rsidR="00527B8C" w:rsidRDefault="00527B8C" w14:paraId="1093BBF8" w14:textId="77777777">
      <w:pPr>
        <w:spacing w:after="0" w:line="240" w:lineRule="auto"/>
        <w:jc w:val="center"/>
      </w:pPr>
    </w:p>
    <w:p w:rsidR="00527B8C" w:rsidRDefault="00527B8C" w14:paraId="0E9ED4D1" w14:textId="77777777">
      <w:pPr>
        <w:spacing w:after="0" w:line="240" w:lineRule="auto"/>
        <w:jc w:val="center"/>
      </w:pPr>
    </w:p>
    <w:p w:rsidR="00527B8C" w:rsidRDefault="00527B8C" w14:paraId="7E57007B" w14:textId="77777777">
      <w:pPr>
        <w:spacing w:after="0" w:line="240" w:lineRule="auto"/>
        <w:jc w:val="center"/>
      </w:pPr>
    </w:p>
    <w:p w:rsidR="00527B8C" w:rsidRDefault="00527B8C" w14:paraId="6ABA757A" w14:textId="77777777">
      <w:pPr>
        <w:spacing w:after="0" w:line="240" w:lineRule="auto"/>
        <w:jc w:val="center"/>
      </w:pPr>
    </w:p>
    <w:p w:rsidR="00527B8C" w:rsidRDefault="00527B8C" w14:paraId="0E39C0D6" w14:textId="77777777">
      <w:pPr>
        <w:spacing w:after="0" w:line="240" w:lineRule="auto"/>
        <w:jc w:val="center"/>
      </w:pPr>
    </w:p>
    <w:p w:rsidR="00527B8C" w:rsidRDefault="00527B8C" w14:paraId="58A77A5A" w14:textId="77777777">
      <w:pPr>
        <w:spacing w:after="0" w:line="240" w:lineRule="auto"/>
        <w:jc w:val="center"/>
      </w:pPr>
    </w:p>
    <w:p w:rsidR="00527B8C" w:rsidRDefault="00527B8C" w14:paraId="2C0DB9C5" w14:textId="77777777">
      <w:pPr>
        <w:spacing w:after="0" w:line="240" w:lineRule="auto"/>
        <w:jc w:val="center"/>
      </w:pPr>
    </w:p>
    <w:p w:rsidR="00527B8C" w:rsidRDefault="00527B8C" w14:paraId="259C83B3" w14:textId="77777777">
      <w:pPr>
        <w:spacing w:after="0" w:line="240" w:lineRule="auto"/>
        <w:jc w:val="center"/>
      </w:pPr>
    </w:p>
    <w:p w:rsidR="00527B8C" w:rsidRDefault="00527B8C" w14:paraId="0075284C" w14:textId="77777777">
      <w:pPr>
        <w:spacing w:after="0" w:line="240" w:lineRule="auto"/>
        <w:jc w:val="center"/>
      </w:pPr>
    </w:p>
    <w:p w:rsidR="00527B8C" w:rsidRDefault="00527B8C" w14:paraId="29979CEA" w14:textId="77777777">
      <w:pPr>
        <w:spacing w:after="0" w:line="240" w:lineRule="auto"/>
        <w:jc w:val="center"/>
      </w:pPr>
    </w:p>
    <w:p w:rsidR="00527B8C" w:rsidRDefault="00212A57" w14:paraId="63A2AD42" w14:textId="77777777">
      <w:pPr>
        <w:spacing w:after="0" w:line="360" w:lineRule="auto"/>
        <w:jc w:val="center"/>
        <w:rPr>
          <w:rFonts w:cs="Calibri"/>
          <w:b w:val="1"/>
          <w:bCs w:val="1"/>
          <w:sz w:val="24"/>
          <w:szCs w:val="24"/>
          <w:lang w:val="es-CO"/>
        </w:rPr>
      </w:pPr>
      <w:r w:rsidRPr="544B9055" w:rsidR="00212A57">
        <w:rPr>
          <w:rFonts w:cs="Calibri"/>
          <w:b w:val="1"/>
          <w:bCs w:val="1"/>
          <w:sz w:val="24"/>
          <w:szCs w:val="24"/>
          <w:lang w:val="es-CO"/>
        </w:rPr>
        <w:t>Línea Base de la Minería de Materiales de Construcción en Colombia con Énfasis en la Región Amazónica (2025)</w:t>
      </w:r>
    </w:p>
    <w:p w:rsidR="544B9055" w:rsidP="544B9055" w:rsidRDefault="544B9055" w14:paraId="1A64181C" w14:textId="28198D05">
      <w:pPr>
        <w:spacing w:after="0" w:line="360" w:lineRule="auto"/>
        <w:jc w:val="center"/>
        <w:rPr>
          <w:rFonts w:cs="Calibri"/>
          <w:b w:val="1"/>
          <w:bCs w:val="1"/>
          <w:sz w:val="24"/>
          <w:szCs w:val="24"/>
          <w:lang w:val="es-CO"/>
        </w:rPr>
      </w:pPr>
    </w:p>
    <w:tbl>
      <w:tblPr>
        <w:tblStyle w:val="Tablaconcuadrcula"/>
        <w:tblW w:w="0" w:type="auto"/>
        <w:tblBorders>
          <w:top w:val="none" w:color="000000" w:themeColor="text1" w:sz="12" w:space="0"/>
          <w:left w:val="none" w:color="000000" w:themeColor="text1" w:sz="12" w:space="0"/>
          <w:bottom w:val="none" w:color="000000" w:themeColor="text1" w:sz="12" w:space="0"/>
          <w:right w:val="none" w:color="000000" w:themeColor="text1" w:sz="12" w:space="0"/>
          <w:insideH w:val="none" w:color="000000" w:themeColor="text1" w:sz="12" w:space="0"/>
          <w:insideV w:val="none" w:color="000000" w:themeColor="text1" w:sz="12" w:space="0"/>
        </w:tblBorders>
        <w:tblLook w:val="04A0" w:firstRow="1" w:lastRow="0" w:firstColumn="1" w:lastColumn="0" w:noHBand="0" w:noVBand="1"/>
      </w:tblPr>
      <w:tblGrid>
        <w:gridCol w:w="4875"/>
        <w:gridCol w:w="3945"/>
      </w:tblGrid>
      <w:tr w:rsidR="00527B8C" w:rsidTr="544B9055" w14:paraId="22903477" w14:textId="77777777">
        <w:trPr>
          <w:trHeight w:val="495"/>
        </w:trPr>
        <w:tc>
          <w:tcPr>
            <w:tcW w:w="4875" w:type="dxa"/>
            <w:tcBorders/>
            <w:tcMar>
              <w:left w:w="105" w:type="dxa"/>
              <w:right w:w="105" w:type="dxa"/>
            </w:tcMar>
          </w:tcPr>
          <w:p w:rsidR="00527B8C" w:rsidP="544B9055" w:rsidRDefault="00212A57" w14:paraId="3E0BB244" w14:textId="77777777">
            <w:pPr>
              <w:spacing w:after="0" w:line="276" w:lineRule="auto"/>
              <w:jc w:val="both"/>
              <w:rPr>
                <w:rFonts w:cs="Calibri"/>
                <w:color w:val="000000" w:themeColor="text1"/>
                <w:sz w:val="24"/>
                <w:szCs w:val="24"/>
                <w:lang w:val="es-CO"/>
              </w:rPr>
            </w:pPr>
            <w:r w:rsidRPr="544B9055" w:rsidR="00212A57">
              <w:rPr>
                <w:rFonts w:cs="Calibri"/>
                <w:b w:val="1"/>
                <w:bCs w:val="1"/>
                <w:color w:val="000000" w:themeColor="text1" w:themeTint="FF" w:themeShade="FF"/>
                <w:sz w:val="24"/>
                <w:szCs w:val="24"/>
                <w:lang w:val="es-CO"/>
              </w:rPr>
              <w:t>Ministerio de Minas y Energía</w:t>
            </w:r>
          </w:p>
          <w:p w:rsidR="00527B8C" w:rsidP="544B9055" w:rsidRDefault="00527B8C" w14:paraId="61C2A7F4" w14:textId="77777777">
            <w:pPr>
              <w:spacing w:after="0" w:line="276" w:lineRule="auto"/>
              <w:jc w:val="both"/>
              <w:rPr>
                <w:rFonts w:cs="Calibri"/>
                <w:color w:val="000000" w:themeColor="text1"/>
                <w:sz w:val="24"/>
                <w:szCs w:val="24"/>
                <w:lang w:val="es-CO"/>
              </w:rPr>
            </w:pPr>
          </w:p>
          <w:p w:rsidR="00527B8C" w:rsidP="544B9055" w:rsidRDefault="00212A57" w14:paraId="03B21FE6" w14:textId="77777777">
            <w:pPr>
              <w:spacing w:after="0" w:line="276" w:lineRule="auto"/>
              <w:jc w:val="both"/>
              <w:rPr>
                <w:rFonts w:cs="Calibri"/>
                <w:color w:val="000000" w:themeColor="text1"/>
                <w:sz w:val="24"/>
                <w:szCs w:val="24"/>
                <w:lang w:val="es-CO"/>
              </w:rPr>
            </w:pPr>
            <w:r w:rsidRPr="544B9055" w:rsidR="00212A57">
              <w:rPr>
                <w:rFonts w:cs="Calibri"/>
                <w:color w:val="000000" w:themeColor="text1" w:themeTint="FF" w:themeShade="FF"/>
                <w:sz w:val="24"/>
                <w:szCs w:val="24"/>
                <w:lang w:val="es-CO"/>
              </w:rPr>
              <w:t>Edwin Palma Egea</w:t>
            </w:r>
          </w:p>
          <w:p w:rsidR="00527B8C" w:rsidP="544B9055" w:rsidRDefault="00212A57" w14:paraId="637E6F61" w14:textId="77777777">
            <w:pPr>
              <w:spacing w:after="0" w:line="276" w:lineRule="auto"/>
              <w:jc w:val="both"/>
              <w:rPr>
                <w:rFonts w:cs="Calibri"/>
                <w:color w:val="000000" w:themeColor="text1"/>
                <w:sz w:val="24"/>
                <w:szCs w:val="24"/>
                <w:lang w:val="es-CO"/>
              </w:rPr>
            </w:pPr>
            <w:r w:rsidRPr="544B9055" w:rsidR="00212A57">
              <w:rPr>
                <w:rFonts w:cs="Calibri"/>
                <w:b w:val="1"/>
                <w:bCs w:val="1"/>
                <w:color w:val="000000" w:themeColor="text1" w:themeTint="FF" w:themeShade="FF"/>
                <w:sz w:val="24"/>
                <w:szCs w:val="24"/>
                <w:lang w:val="es-CO"/>
              </w:rPr>
              <w:t>Ministro</w:t>
            </w:r>
          </w:p>
          <w:p w:rsidR="00527B8C" w:rsidP="544B9055" w:rsidRDefault="00527B8C" w14:paraId="0483B841" w14:textId="77777777">
            <w:pPr>
              <w:spacing w:after="0" w:line="276" w:lineRule="auto"/>
              <w:jc w:val="both"/>
              <w:rPr>
                <w:rFonts w:cs="Calibri"/>
                <w:color w:val="000000" w:themeColor="text1"/>
                <w:sz w:val="24"/>
                <w:szCs w:val="24"/>
                <w:lang w:val="es-CO"/>
              </w:rPr>
            </w:pPr>
          </w:p>
          <w:p w:rsidR="00527B8C" w:rsidP="544B9055" w:rsidRDefault="00212A57" w14:paraId="4C404B30" w14:textId="77777777">
            <w:pPr>
              <w:spacing w:after="0" w:line="276" w:lineRule="auto"/>
              <w:jc w:val="both"/>
              <w:rPr>
                <w:rFonts w:cs="Calibri"/>
                <w:color w:val="000000" w:themeColor="text1"/>
                <w:sz w:val="24"/>
                <w:szCs w:val="24"/>
                <w:lang w:val="es-CO"/>
              </w:rPr>
            </w:pPr>
            <w:r w:rsidRPr="544B9055" w:rsidR="00212A57">
              <w:rPr>
                <w:rFonts w:cs="Calibri"/>
                <w:color w:val="000000" w:themeColor="text1" w:themeTint="FF" w:themeShade="FF"/>
                <w:sz w:val="24"/>
                <w:szCs w:val="24"/>
                <w:lang w:val="es-CO"/>
              </w:rPr>
              <w:t>Sorrel</w:t>
            </w:r>
            <w:r w:rsidRPr="544B9055" w:rsidR="00212A57">
              <w:rPr>
                <w:rFonts w:cs="Calibri"/>
                <w:color w:val="000000" w:themeColor="text1" w:themeTint="FF" w:themeShade="FF"/>
                <w:sz w:val="24"/>
                <w:szCs w:val="24"/>
                <w:lang w:val="es-CO"/>
              </w:rPr>
              <w:t xml:space="preserve"> </w:t>
            </w:r>
            <w:r w:rsidRPr="544B9055" w:rsidR="00212A57">
              <w:rPr>
                <w:rFonts w:cs="Calibri"/>
                <w:color w:val="000000" w:themeColor="text1" w:themeTint="FF" w:themeShade="FF"/>
                <w:sz w:val="24"/>
                <w:szCs w:val="24"/>
                <w:lang w:val="es-CO"/>
              </w:rPr>
              <w:t>Parisa</w:t>
            </w:r>
            <w:r w:rsidRPr="544B9055" w:rsidR="00212A57">
              <w:rPr>
                <w:rFonts w:cs="Calibri"/>
                <w:color w:val="000000" w:themeColor="text1" w:themeTint="FF" w:themeShade="FF"/>
                <w:sz w:val="24"/>
                <w:szCs w:val="24"/>
                <w:lang w:val="es-CO"/>
              </w:rPr>
              <w:t xml:space="preserve"> Aroca</w:t>
            </w:r>
          </w:p>
          <w:p w:rsidR="00527B8C" w:rsidP="544B9055" w:rsidRDefault="00212A57" w14:paraId="59914568" w14:textId="77777777">
            <w:pPr>
              <w:spacing w:after="0" w:line="276" w:lineRule="auto"/>
              <w:jc w:val="both"/>
              <w:rPr>
                <w:rFonts w:cs="Calibri"/>
                <w:color w:val="000000" w:themeColor="text1"/>
                <w:sz w:val="24"/>
                <w:szCs w:val="24"/>
                <w:lang w:val="es-CO"/>
              </w:rPr>
            </w:pPr>
            <w:r w:rsidRPr="544B9055" w:rsidR="00212A57">
              <w:rPr>
                <w:rFonts w:cs="Calibri"/>
                <w:b w:val="1"/>
                <w:bCs w:val="1"/>
                <w:color w:val="000000" w:themeColor="text1" w:themeTint="FF" w:themeShade="FF"/>
                <w:sz w:val="24"/>
                <w:szCs w:val="24"/>
                <w:lang w:val="es-CO"/>
              </w:rPr>
              <w:t>Viceministra de Minas</w:t>
            </w:r>
          </w:p>
          <w:p w:rsidR="00527B8C" w:rsidP="544B9055" w:rsidRDefault="00527B8C" w14:paraId="35207FDF" w14:textId="77777777">
            <w:pPr>
              <w:spacing w:after="0" w:line="276" w:lineRule="auto"/>
              <w:jc w:val="both"/>
              <w:rPr>
                <w:rFonts w:cs="Calibri"/>
                <w:color w:val="000000" w:themeColor="text1"/>
                <w:sz w:val="24"/>
                <w:szCs w:val="24"/>
                <w:lang w:val="es-CO"/>
              </w:rPr>
            </w:pPr>
          </w:p>
          <w:p w:rsidR="00527B8C" w:rsidP="544B9055" w:rsidRDefault="00212A57" w14:paraId="3AD666BA" w14:textId="77777777">
            <w:pPr>
              <w:spacing w:after="0" w:line="276" w:lineRule="auto"/>
              <w:jc w:val="both"/>
              <w:rPr>
                <w:rFonts w:cs="Calibri"/>
                <w:color w:val="000000" w:themeColor="text1"/>
                <w:sz w:val="24"/>
                <w:szCs w:val="24"/>
                <w:lang w:val="es-CO"/>
              </w:rPr>
            </w:pPr>
            <w:r w:rsidRPr="544B9055" w:rsidR="00212A57">
              <w:rPr>
                <w:rFonts w:cs="Calibri"/>
                <w:color w:val="000000" w:themeColor="text1" w:themeTint="FF" w:themeShade="FF"/>
                <w:sz w:val="24"/>
                <w:szCs w:val="24"/>
                <w:lang w:val="es-CO"/>
              </w:rPr>
              <w:t>Darío Echeverry Serrano</w:t>
            </w:r>
          </w:p>
          <w:p w:rsidR="00527B8C" w:rsidP="544B9055" w:rsidRDefault="00212A57" w14:paraId="4E2FC9CE" w14:textId="77777777">
            <w:pPr>
              <w:spacing w:after="0" w:line="276" w:lineRule="auto"/>
              <w:jc w:val="both"/>
              <w:rPr>
                <w:rFonts w:cs="Calibri"/>
                <w:b w:val="1"/>
                <w:bCs w:val="1"/>
                <w:color w:val="000000" w:themeColor="text1"/>
                <w:sz w:val="24"/>
                <w:szCs w:val="24"/>
                <w:lang w:val="es-CO"/>
              </w:rPr>
            </w:pPr>
            <w:r w:rsidRPr="544B9055" w:rsidR="00212A57">
              <w:rPr>
                <w:rFonts w:cs="Calibri"/>
                <w:b w:val="1"/>
                <w:bCs w:val="1"/>
                <w:color w:val="000000" w:themeColor="text1" w:themeTint="FF" w:themeShade="FF"/>
                <w:sz w:val="24"/>
                <w:szCs w:val="24"/>
                <w:lang w:val="es-CO"/>
              </w:rPr>
              <w:t>Director Proyecto Sala de Monitoreo</w:t>
            </w:r>
          </w:p>
          <w:p w:rsidR="00527B8C" w:rsidP="544B9055" w:rsidRDefault="00527B8C" w14:paraId="1A5DD4AE" w14:textId="77777777">
            <w:pPr>
              <w:spacing w:after="0" w:line="276" w:lineRule="auto"/>
              <w:jc w:val="both"/>
              <w:rPr>
                <w:rFonts w:cs="Calibri"/>
                <w:b w:val="1"/>
                <w:bCs w:val="1"/>
                <w:color w:val="000000" w:themeColor="text1"/>
                <w:sz w:val="24"/>
                <w:szCs w:val="24"/>
                <w:lang w:val="es-CO"/>
              </w:rPr>
            </w:pPr>
          </w:p>
          <w:p w:rsidR="00527B8C" w:rsidP="544B9055" w:rsidRDefault="00527B8C" w14:paraId="1CB4DFD2" w14:textId="77777777">
            <w:pPr>
              <w:spacing w:after="0" w:line="276" w:lineRule="auto"/>
              <w:jc w:val="both"/>
              <w:rPr>
                <w:rFonts w:cs="Calibri"/>
                <w:b w:val="1"/>
                <w:bCs w:val="1"/>
                <w:color w:val="000000" w:themeColor="text1"/>
                <w:sz w:val="24"/>
                <w:szCs w:val="24"/>
                <w:lang w:val="es-CO"/>
              </w:rPr>
            </w:pPr>
          </w:p>
          <w:p w:rsidR="00527B8C" w:rsidP="544B9055" w:rsidRDefault="00527B8C" w14:paraId="61FB2F23" w14:textId="77777777">
            <w:pPr>
              <w:spacing w:after="0" w:line="276" w:lineRule="auto"/>
              <w:jc w:val="both"/>
              <w:rPr>
                <w:rFonts w:cs="Calibri"/>
                <w:b w:val="1"/>
                <w:bCs w:val="1"/>
                <w:color w:val="000000" w:themeColor="text1"/>
                <w:sz w:val="24"/>
                <w:szCs w:val="24"/>
                <w:lang w:val="es-CO"/>
              </w:rPr>
            </w:pPr>
          </w:p>
          <w:p w:rsidR="00527B8C" w:rsidP="544B9055" w:rsidRDefault="00527B8C" w14:paraId="7C4C463A" w14:textId="77777777">
            <w:pPr>
              <w:spacing w:after="0" w:line="276" w:lineRule="auto"/>
              <w:jc w:val="both"/>
              <w:rPr>
                <w:rFonts w:cs="Calibri"/>
                <w:b w:val="1"/>
                <w:bCs w:val="1"/>
                <w:color w:val="000000" w:themeColor="text1"/>
                <w:sz w:val="24"/>
                <w:szCs w:val="24"/>
                <w:lang w:val="es-CO"/>
              </w:rPr>
            </w:pPr>
          </w:p>
          <w:p w:rsidR="00527B8C" w:rsidP="544B9055" w:rsidRDefault="00527B8C" w14:paraId="152F0A39" w14:textId="77777777">
            <w:pPr>
              <w:spacing w:after="0" w:line="276" w:lineRule="auto"/>
              <w:jc w:val="both"/>
              <w:rPr>
                <w:rFonts w:cs="Calibri"/>
                <w:b w:val="1"/>
                <w:bCs w:val="1"/>
                <w:color w:val="000000" w:themeColor="text1"/>
                <w:sz w:val="24"/>
                <w:szCs w:val="24"/>
                <w:lang w:val="es-CO"/>
              </w:rPr>
            </w:pPr>
          </w:p>
          <w:p w:rsidR="00527B8C" w:rsidP="544B9055" w:rsidRDefault="00527B8C" w14:paraId="48A7D697" w14:textId="77777777">
            <w:pPr>
              <w:spacing w:after="0" w:line="276" w:lineRule="auto"/>
              <w:jc w:val="both"/>
              <w:rPr>
                <w:rFonts w:cs="Calibri"/>
                <w:b w:val="1"/>
                <w:bCs w:val="1"/>
                <w:color w:val="000000" w:themeColor="text1"/>
                <w:sz w:val="24"/>
                <w:szCs w:val="24"/>
                <w:lang w:val="es-CO"/>
              </w:rPr>
            </w:pPr>
          </w:p>
          <w:p w:rsidR="00527B8C" w:rsidP="544B9055" w:rsidRDefault="00527B8C" w14:paraId="69E04D4C" w14:textId="77777777">
            <w:pPr>
              <w:spacing w:after="0" w:line="276" w:lineRule="auto"/>
              <w:jc w:val="both"/>
              <w:rPr>
                <w:rFonts w:cs="Calibri"/>
                <w:b w:val="1"/>
                <w:bCs w:val="1"/>
                <w:color w:val="000000" w:themeColor="text1"/>
                <w:sz w:val="24"/>
                <w:szCs w:val="24"/>
                <w:lang w:val="es-CO"/>
              </w:rPr>
            </w:pPr>
          </w:p>
          <w:p w:rsidR="00527B8C" w:rsidP="544B9055" w:rsidRDefault="00527B8C" w14:paraId="5D0252C5" w14:textId="77777777">
            <w:pPr>
              <w:spacing w:after="0" w:line="276" w:lineRule="auto"/>
              <w:jc w:val="both"/>
              <w:rPr>
                <w:rFonts w:cs="Calibri"/>
                <w:b w:val="1"/>
                <w:bCs w:val="1"/>
                <w:color w:val="000000" w:themeColor="text1"/>
                <w:sz w:val="24"/>
                <w:szCs w:val="24"/>
                <w:lang w:val="es-CO"/>
              </w:rPr>
            </w:pPr>
          </w:p>
          <w:p w:rsidR="00527B8C" w:rsidP="544B9055" w:rsidRDefault="00527B8C" w14:paraId="3D2E3A91" w14:textId="77777777">
            <w:pPr>
              <w:spacing w:after="0" w:line="276" w:lineRule="auto"/>
              <w:jc w:val="both"/>
              <w:rPr>
                <w:rFonts w:cs="Calibri"/>
                <w:b w:val="1"/>
                <w:bCs w:val="1"/>
                <w:color w:val="000000" w:themeColor="text1"/>
                <w:sz w:val="24"/>
                <w:szCs w:val="24"/>
                <w:lang w:val="es-CO"/>
              </w:rPr>
            </w:pPr>
          </w:p>
          <w:p w:rsidR="00527B8C" w:rsidP="544B9055" w:rsidRDefault="00527B8C" w14:paraId="31898ED7" w14:textId="77777777">
            <w:pPr>
              <w:spacing w:after="0" w:line="276" w:lineRule="auto"/>
              <w:jc w:val="both"/>
              <w:rPr>
                <w:rFonts w:cs="Calibri"/>
                <w:b w:val="1"/>
                <w:bCs w:val="1"/>
                <w:color w:val="000000" w:themeColor="text1"/>
                <w:sz w:val="24"/>
                <w:szCs w:val="24"/>
                <w:lang w:val="es-CO"/>
              </w:rPr>
            </w:pPr>
          </w:p>
          <w:p w:rsidR="00527B8C" w:rsidP="544B9055" w:rsidRDefault="00527B8C" w14:paraId="0539907F" w14:textId="77777777">
            <w:pPr>
              <w:spacing w:after="0" w:line="276" w:lineRule="auto"/>
              <w:jc w:val="both"/>
              <w:rPr>
                <w:rFonts w:cs="Calibri"/>
                <w:b w:val="1"/>
                <w:bCs w:val="1"/>
                <w:color w:val="000000" w:themeColor="text1"/>
                <w:sz w:val="24"/>
                <w:szCs w:val="24"/>
                <w:lang w:val="es-CO"/>
              </w:rPr>
            </w:pPr>
          </w:p>
          <w:p w:rsidR="00297356" w:rsidP="544B9055" w:rsidRDefault="00297356" w14:paraId="25B8DCCA" w14:textId="77777777">
            <w:pPr>
              <w:spacing w:after="0" w:line="276" w:lineRule="auto"/>
              <w:jc w:val="both"/>
              <w:rPr>
                <w:rFonts w:cs="Calibri"/>
                <w:sz w:val="24"/>
                <w:szCs w:val="24"/>
                <w:lang w:val="es-CO"/>
              </w:rPr>
            </w:pPr>
          </w:p>
          <w:p w:rsidR="544B9055" w:rsidP="544B9055" w:rsidRDefault="544B9055" w14:paraId="75B17D16" w14:textId="6DA576F5">
            <w:pPr>
              <w:spacing w:after="0" w:line="276" w:lineRule="auto"/>
              <w:jc w:val="both"/>
              <w:rPr>
                <w:rFonts w:cs="Calibri"/>
                <w:sz w:val="24"/>
                <w:szCs w:val="24"/>
                <w:lang w:val="es-CO"/>
              </w:rPr>
            </w:pPr>
          </w:p>
          <w:p w:rsidR="544B9055" w:rsidP="544B9055" w:rsidRDefault="544B9055" w14:paraId="49A7CB50" w14:textId="7B553FDC">
            <w:pPr>
              <w:spacing w:after="0" w:line="276" w:lineRule="auto"/>
              <w:jc w:val="both"/>
              <w:rPr>
                <w:rFonts w:cs="Calibri"/>
                <w:sz w:val="24"/>
                <w:szCs w:val="24"/>
                <w:lang w:val="es-CO"/>
              </w:rPr>
            </w:pPr>
          </w:p>
          <w:p w:rsidR="544B9055" w:rsidP="544B9055" w:rsidRDefault="544B9055" w14:paraId="0AB709F3" w14:textId="055AD5E4">
            <w:pPr>
              <w:spacing w:after="0" w:line="276" w:lineRule="auto"/>
              <w:jc w:val="both"/>
              <w:rPr>
                <w:rFonts w:cs="Calibri"/>
                <w:sz w:val="24"/>
                <w:szCs w:val="24"/>
                <w:lang w:val="es-CO"/>
              </w:rPr>
            </w:pPr>
          </w:p>
          <w:p w:rsidR="544B9055" w:rsidP="544B9055" w:rsidRDefault="544B9055" w14:paraId="21A6979E" w14:textId="1BF27556">
            <w:pPr>
              <w:spacing w:after="0" w:line="276" w:lineRule="auto"/>
              <w:jc w:val="both"/>
              <w:rPr>
                <w:rFonts w:cs="Calibri"/>
                <w:sz w:val="24"/>
                <w:szCs w:val="24"/>
                <w:lang w:val="es-CO"/>
              </w:rPr>
            </w:pPr>
          </w:p>
          <w:p w:rsidR="544B9055" w:rsidP="544B9055" w:rsidRDefault="544B9055" w14:paraId="025CFFE7" w14:textId="614BCFC5">
            <w:pPr>
              <w:spacing w:after="0" w:line="276" w:lineRule="auto"/>
              <w:jc w:val="both"/>
              <w:rPr>
                <w:rFonts w:cs="Calibri"/>
                <w:sz w:val="24"/>
                <w:szCs w:val="24"/>
                <w:lang w:val="es-CO"/>
              </w:rPr>
            </w:pPr>
          </w:p>
          <w:p w:rsidR="544B9055" w:rsidP="544B9055" w:rsidRDefault="544B9055" w14:paraId="0DD2067A" w14:textId="27CBE08C">
            <w:pPr>
              <w:spacing w:after="0" w:line="276" w:lineRule="auto"/>
              <w:jc w:val="both"/>
              <w:rPr>
                <w:rFonts w:cs="Calibri"/>
                <w:sz w:val="24"/>
                <w:szCs w:val="24"/>
                <w:lang w:val="es-CO"/>
              </w:rPr>
            </w:pPr>
          </w:p>
          <w:p w:rsidR="544B9055" w:rsidP="544B9055" w:rsidRDefault="544B9055" w14:paraId="386521C5" w14:textId="5CF279F5">
            <w:pPr>
              <w:spacing w:after="0" w:line="276" w:lineRule="auto"/>
              <w:jc w:val="both"/>
              <w:rPr>
                <w:rFonts w:cs="Calibri"/>
                <w:sz w:val="24"/>
                <w:szCs w:val="24"/>
                <w:lang w:val="es-CO"/>
              </w:rPr>
            </w:pPr>
          </w:p>
          <w:p w:rsidR="00527B8C" w:rsidP="544B9055" w:rsidRDefault="00212A57" w14:paraId="0C690912" w14:textId="3FFAEE26">
            <w:pPr>
              <w:spacing w:after="0" w:line="276" w:lineRule="auto"/>
              <w:jc w:val="both"/>
              <w:rPr>
                <w:rFonts w:cs="Calibri"/>
                <w:sz w:val="24"/>
                <w:szCs w:val="24"/>
                <w:lang w:val="es-CO"/>
              </w:rPr>
            </w:pPr>
            <w:r w:rsidRPr="544B9055" w:rsidR="00212A57">
              <w:rPr>
                <w:rFonts w:cs="Calibri"/>
                <w:sz w:val="24"/>
                <w:szCs w:val="24"/>
                <w:lang w:val="es-CO"/>
              </w:rPr>
              <w:t xml:space="preserve">Bogotá D.C. </w:t>
            </w:r>
            <w:r w:rsidRPr="544B9055" w:rsidR="00212A57">
              <w:rPr>
                <w:rFonts w:cs="Calibri"/>
                <w:sz w:val="24"/>
                <w:szCs w:val="24"/>
                <w:lang w:val="es-CO"/>
              </w:rPr>
              <w:t>Diciembre</w:t>
            </w:r>
            <w:r w:rsidRPr="544B9055" w:rsidR="00212A57">
              <w:rPr>
                <w:rFonts w:cs="Calibri"/>
                <w:sz w:val="24"/>
                <w:szCs w:val="24"/>
                <w:lang w:val="es-CO"/>
              </w:rPr>
              <w:t xml:space="preserve"> de 2025</w:t>
            </w:r>
          </w:p>
        </w:tc>
        <w:tc>
          <w:tcPr>
            <w:tcW w:w="3945" w:type="dxa"/>
            <w:tcBorders/>
            <w:tcMar>
              <w:left w:w="105" w:type="dxa"/>
              <w:right w:w="105" w:type="dxa"/>
            </w:tcMar>
          </w:tcPr>
          <w:p w:rsidR="00527B8C" w:rsidP="544B9055" w:rsidRDefault="00212A57" w14:paraId="348D9C1B" w14:textId="77777777">
            <w:pPr>
              <w:spacing w:after="0" w:line="276" w:lineRule="auto"/>
              <w:jc w:val="both"/>
              <w:rPr>
                <w:rFonts w:cs="Calibri"/>
                <w:color w:val="000000" w:themeColor="text1"/>
                <w:sz w:val="24"/>
                <w:szCs w:val="24"/>
                <w:lang w:val="es-CO"/>
              </w:rPr>
            </w:pPr>
            <w:r w:rsidRPr="544B9055" w:rsidR="00212A57">
              <w:rPr>
                <w:rFonts w:cs="Calibri"/>
                <w:b w:val="1"/>
                <w:bCs w:val="1"/>
                <w:color w:val="000000" w:themeColor="text1" w:themeTint="FF" w:themeShade="FF"/>
                <w:sz w:val="24"/>
                <w:szCs w:val="24"/>
                <w:lang w:val="es-CO"/>
              </w:rPr>
              <w:t>Autores:</w:t>
            </w:r>
          </w:p>
          <w:p w:rsidR="00527B8C" w:rsidP="544B9055" w:rsidRDefault="00212A57" w14:paraId="37AA83DD" w14:textId="77777777">
            <w:pPr>
              <w:spacing w:after="0" w:line="276" w:lineRule="auto"/>
              <w:jc w:val="both"/>
              <w:rPr>
                <w:rFonts w:cs="Calibri"/>
                <w:color w:val="000000" w:themeColor="text1"/>
                <w:sz w:val="24"/>
                <w:szCs w:val="24"/>
                <w:lang w:val="es-CO"/>
              </w:rPr>
            </w:pPr>
            <w:r w:rsidRPr="544B9055" w:rsidR="00212A57">
              <w:rPr>
                <w:rFonts w:cs="Calibri"/>
                <w:b w:val="1"/>
                <w:bCs w:val="1"/>
                <w:color w:val="000000" w:themeColor="text1" w:themeTint="FF" w:themeShade="FF"/>
                <w:sz w:val="24"/>
                <w:szCs w:val="24"/>
                <w:lang w:val="es-CO"/>
              </w:rPr>
              <w:t>Ministerio de Minas y Energía</w:t>
            </w:r>
          </w:p>
          <w:p w:rsidR="00527B8C" w:rsidP="544B9055" w:rsidRDefault="00212A57" w14:paraId="239176C6" w14:textId="77777777">
            <w:pPr>
              <w:spacing w:after="0" w:line="276" w:lineRule="auto"/>
              <w:jc w:val="both"/>
              <w:rPr>
                <w:rFonts w:cs="Calibri"/>
                <w:b w:val="1"/>
                <w:bCs w:val="1"/>
                <w:color w:val="000000" w:themeColor="text1"/>
                <w:sz w:val="24"/>
                <w:szCs w:val="24"/>
                <w:lang w:val="es-CO"/>
              </w:rPr>
            </w:pPr>
            <w:r w:rsidRPr="544B9055" w:rsidR="00212A57">
              <w:rPr>
                <w:rFonts w:cs="Calibri"/>
                <w:b w:val="1"/>
                <w:bCs w:val="1"/>
                <w:color w:val="000000" w:themeColor="text1" w:themeTint="FF" w:themeShade="FF"/>
                <w:sz w:val="24"/>
                <w:szCs w:val="24"/>
                <w:lang w:val="es-CO"/>
              </w:rPr>
              <w:t>Viceministerio de Minas:</w:t>
            </w:r>
          </w:p>
          <w:p w:rsidR="00527B8C" w:rsidP="544B9055" w:rsidRDefault="00212A57" w14:paraId="1E865A55" w14:textId="77777777">
            <w:pPr>
              <w:spacing w:after="0" w:line="276" w:lineRule="auto"/>
              <w:jc w:val="both"/>
              <w:rPr>
                <w:rFonts w:cs="Calibri"/>
                <w:color w:val="000000" w:themeColor="text1"/>
                <w:sz w:val="24"/>
                <w:szCs w:val="24"/>
                <w:lang w:val="es-CO"/>
              </w:rPr>
            </w:pPr>
            <w:r w:rsidRPr="544B9055" w:rsidR="00212A57">
              <w:rPr>
                <w:rFonts w:cs="Calibri"/>
                <w:color w:val="000000" w:themeColor="text1" w:themeTint="FF" w:themeShade="FF"/>
                <w:sz w:val="24"/>
                <w:szCs w:val="24"/>
                <w:lang w:val="es-CO"/>
              </w:rPr>
              <w:t>Carlos Hernán Castro Almario</w:t>
            </w:r>
          </w:p>
          <w:p w:rsidR="00527B8C" w:rsidP="544B9055" w:rsidRDefault="00212A57" w14:paraId="23441E89" w14:textId="77777777">
            <w:pPr>
              <w:spacing w:after="0" w:line="276" w:lineRule="auto"/>
              <w:jc w:val="both"/>
              <w:rPr>
                <w:rFonts w:cs="Calibri"/>
                <w:color w:val="000000" w:themeColor="text1"/>
                <w:sz w:val="20"/>
                <w:szCs w:val="20"/>
                <w:lang w:val="es-CO"/>
              </w:rPr>
            </w:pPr>
            <w:r w:rsidRPr="544B9055" w:rsidR="00212A57">
              <w:rPr>
                <w:rFonts w:cs="Calibri"/>
                <w:color w:val="000000" w:themeColor="text1" w:themeTint="FF" w:themeShade="FF"/>
                <w:sz w:val="20"/>
                <w:szCs w:val="20"/>
                <w:lang w:val="es-CO"/>
              </w:rPr>
              <w:t>Coordinación general</w:t>
            </w:r>
          </w:p>
          <w:p w:rsidR="00527B8C" w:rsidP="544B9055" w:rsidRDefault="00527B8C" w14:paraId="07543554" w14:textId="77777777">
            <w:pPr>
              <w:spacing w:after="0" w:line="276" w:lineRule="auto"/>
              <w:jc w:val="both"/>
              <w:rPr>
                <w:rFonts w:cs="Calibri"/>
                <w:color w:val="000000" w:themeColor="text1"/>
                <w:sz w:val="16"/>
                <w:szCs w:val="16"/>
                <w:lang w:val="es-CO"/>
              </w:rPr>
            </w:pPr>
          </w:p>
          <w:p w:rsidR="00527B8C" w:rsidP="544B9055" w:rsidRDefault="00212A57" w14:paraId="448E9CE6" w14:textId="77777777">
            <w:pPr>
              <w:spacing w:after="0" w:line="276" w:lineRule="auto"/>
              <w:jc w:val="both"/>
              <w:rPr>
                <w:rFonts w:cs="Calibri"/>
                <w:color w:val="000000" w:themeColor="text1"/>
                <w:sz w:val="24"/>
                <w:szCs w:val="24"/>
                <w:lang w:val="es-CO"/>
              </w:rPr>
            </w:pPr>
            <w:r w:rsidRPr="544B9055" w:rsidR="00212A57">
              <w:rPr>
                <w:rFonts w:cs="Calibri"/>
                <w:color w:val="000000" w:themeColor="text1" w:themeTint="FF" w:themeShade="FF"/>
                <w:sz w:val="24"/>
                <w:szCs w:val="24"/>
                <w:lang w:val="es-CO"/>
              </w:rPr>
              <w:t>Daniel Esteban Bolaños Insuasty</w:t>
            </w:r>
          </w:p>
          <w:p w:rsidR="00527B8C" w:rsidP="544B9055" w:rsidRDefault="00212A57" w14:paraId="2E26050A" w14:textId="77777777">
            <w:pPr>
              <w:spacing w:after="0" w:line="276" w:lineRule="auto"/>
              <w:jc w:val="both"/>
              <w:rPr>
                <w:rFonts w:cs="Calibri"/>
                <w:color w:val="000000" w:themeColor="text1"/>
                <w:sz w:val="20"/>
                <w:szCs w:val="20"/>
                <w:lang w:val="es-CO"/>
              </w:rPr>
            </w:pPr>
            <w:r w:rsidRPr="544B9055" w:rsidR="00212A57">
              <w:rPr>
                <w:rFonts w:cs="Calibri"/>
                <w:color w:val="000000" w:themeColor="text1" w:themeTint="FF" w:themeShade="FF"/>
                <w:sz w:val="20"/>
                <w:szCs w:val="20"/>
                <w:lang w:val="es-CO"/>
              </w:rPr>
              <w:t>Componente ambiental</w:t>
            </w:r>
          </w:p>
          <w:p w:rsidR="00527B8C" w:rsidP="544B9055" w:rsidRDefault="00527B8C" w14:paraId="039C102D" w14:textId="77777777">
            <w:pPr>
              <w:spacing w:after="0" w:line="276" w:lineRule="auto"/>
              <w:jc w:val="both"/>
              <w:rPr>
                <w:rFonts w:cs="Calibri"/>
                <w:color w:val="000000" w:themeColor="text1"/>
                <w:sz w:val="16"/>
                <w:szCs w:val="16"/>
                <w:lang w:val="es-CO"/>
              </w:rPr>
            </w:pPr>
          </w:p>
          <w:p w:rsidR="00527B8C" w:rsidP="544B9055" w:rsidRDefault="00212A57" w14:paraId="15254306" w14:textId="77777777">
            <w:pPr>
              <w:spacing w:after="0" w:line="276" w:lineRule="auto"/>
              <w:jc w:val="both"/>
              <w:rPr>
                <w:rFonts w:cs="Calibri"/>
                <w:color w:val="000000" w:themeColor="text1"/>
                <w:sz w:val="24"/>
                <w:szCs w:val="24"/>
                <w:lang w:val="es-CO"/>
              </w:rPr>
            </w:pPr>
            <w:r w:rsidRPr="544B9055" w:rsidR="00212A57">
              <w:rPr>
                <w:rFonts w:cs="Calibri"/>
                <w:color w:val="000000" w:themeColor="text1" w:themeTint="FF" w:themeShade="FF"/>
                <w:sz w:val="24"/>
                <w:szCs w:val="24"/>
                <w:lang w:val="es-CO"/>
              </w:rPr>
              <w:t>Jaime Alexis Avella</w:t>
            </w:r>
          </w:p>
          <w:p w:rsidR="00527B8C" w:rsidP="544B9055" w:rsidRDefault="00212A57" w14:paraId="51890B41" w14:textId="77777777">
            <w:pPr>
              <w:spacing w:after="0" w:line="276" w:lineRule="auto"/>
              <w:jc w:val="both"/>
              <w:rPr>
                <w:rFonts w:cs="Calibri"/>
                <w:color w:val="000000" w:themeColor="text1"/>
                <w:sz w:val="20"/>
                <w:szCs w:val="20"/>
                <w:lang w:val="es-CO"/>
              </w:rPr>
            </w:pPr>
            <w:r w:rsidRPr="544B9055" w:rsidR="00212A57">
              <w:rPr>
                <w:rFonts w:cs="Calibri"/>
                <w:color w:val="000000" w:themeColor="text1" w:themeTint="FF" w:themeShade="FF"/>
                <w:sz w:val="20"/>
                <w:szCs w:val="20"/>
                <w:lang w:val="es-CO"/>
              </w:rPr>
              <w:t>Mapas</w:t>
            </w:r>
          </w:p>
          <w:p w:rsidR="00527B8C" w:rsidP="544B9055" w:rsidRDefault="00527B8C" w14:paraId="1181A0CC" w14:textId="77777777">
            <w:pPr>
              <w:spacing w:after="0" w:line="276" w:lineRule="auto"/>
              <w:jc w:val="both"/>
              <w:rPr>
                <w:rFonts w:cs="Calibri"/>
                <w:color w:val="000000" w:themeColor="text1"/>
                <w:sz w:val="16"/>
                <w:szCs w:val="16"/>
                <w:lang w:val="es-CO"/>
              </w:rPr>
            </w:pPr>
          </w:p>
          <w:p w:rsidR="00527B8C" w:rsidP="544B9055" w:rsidRDefault="00212A57" w14:paraId="35025FF7" w14:textId="77777777">
            <w:pPr>
              <w:spacing w:after="0" w:line="276" w:lineRule="auto"/>
              <w:jc w:val="both"/>
              <w:rPr>
                <w:rFonts w:cs="Calibri"/>
                <w:color w:val="000000" w:themeColor="text1"/>
                <w:sz w:val="24"/>
                <w:szCs w:val="24"/>
                <w:lang w:val="es-CO"/>
              </w:rPr>
            </w:pPr>
            <w:r w:rsidRPr="544B9055" w:rsidR="00212A57">
              <w:rPr>
                <w:rFonts w:cs="Calibri"/>
                <w:color w:val="000000" w:themeColor="text1" w:themeTint="FF" w:themeShade="FF"/>
                <w:sz w:val="24"/>
                <w:szCs w:val="24"/>
                <w:lang w:val="es-CO"/>
              </w:rPr>
              <w:t>José Ignacio Rojas Cabrera</w:t>
            </w:r>
          </w:p>
          <w:p w:rsidR="00527B8C" w:rsidP="544B9055" w:rsidRDefault="00212A57" w14:paraId="372866DD" w14:textId="77777777">
            <w:pPr>
              <w:spacing w:after="0" w:line="276" w:lineRule="auto"/>
              <w:jc w:val="both"/>
              <w:rPr>
                <w:rFonts w:cs="Calibri"/>
                <w:color w:val="000000" w:themeColor="text1"/>
                <w:sz w:val="20"/>
                <w:szCs w:val="20"/>
                <w:lang w:val="es-CO"/>
              </w:rPr>
            </w:pPr>
            <w:r w:rsidRPr="544B9055" w:rsidR="00212A57">
              <w:rPr>
                <w:rFonts w:cs="Calibri"/>
                <w:color w:val="000000" w:themeColor="text1" w:themeTint="FF" w:themeShade="FF"/>
                <w:sz w:val="20"/>
                <w:szCs w:val="20"/>
                <w:lang w:val="es-CO"/>
              </w:rPr>
              <w:t>Componente minero</w:t>
            </w:r>
          </w:p>
          <w:p w:rsidR="00527B8C" w:rsidP="544B9055" w:rsidRDefault="00527B8C" w14:paraId="23FF07D9" w14:textId="77777777">
            <w:pPr>
              <w:spacing w:after="0" w:line="276" w:lineRule="auto"/>
              <w:jc w:val="both"/>
              <w:rPr>
                <w:rFonts w:cs="Calibri"/>
                <w:color w:val="000000" w:themeColor="text1"/>
                <w:sz w:val="16"/>
                <w:szCs w:val="16"/>
                <w:lang w:val="es-CO"/>
              </w:rPr>
            </w:pPr>
          </w:p>
          <w:p w:rsidR="00527B8C" w:rsidP="544B9055" w:rsidRDefault="00212A57" w14:paraId="09DCE853" w14:textId="77777777">
            <w:pPr>
              <w:spacing w:after="0" w:line="276" w:lineRule="auto"/>
              <w:jc w:val="both"/>
              <w:rPr>
                <w:rFonts w:cs="Calibri"/>
                <w:color w:val="000000" w:themeColor="text1"/>
                <w:sz w:val="24"/>
                <w:szCs w:val="24"/>
                <w:lang w:val="es-CO"/>
              </w:rPr>
            </w:pPr>
            <w:r w:rsidRPr="544B9055" w:rsidR="00212A57">
              <w:rPr>
                <w:rFonts w:cs="Calibri"/>
                <w:color w:val="000000" w:themeColor="text1" w:themeTint="FF" w:themeShade="FF"/>
                <w:sz w:val="24"/>
                <w:szCs w:val="24"/>
                <w:lang w:val="es-CO"/>
              </w:rPr>
              <w:t>Lifardo Javith Quiroz Torres</w:t>
            </w:r>
          </w:p>
          <w:p w:rsidR="00527B8C" w:rsidP="544B9055" w:rsidRDefault="00212A57" w14:paraId="7AC97F7B" w14:textId="77777777">
            <w:pPr>
              <w:spacing w:after="0" w:line="276" w:lineRule="auto"/>
              <w:jc w:val="both"/>
              <w:rPr>
                <w:rFonts w:cs="Calibri"/>
                <w:color w:val="000000" w:themeColor="text1"/>
                <w:sz w:val="20"/>
                <w:szCs w:val="20"/>
                <w:lang w:val="es-CO"/>
              </w:rPr>
            </w:pPr>
            <w:r w:rsidRPr="544B9055" w:rsidR="00212A57">
              <w:rPr>
                <w:rFonts w:cs="Calibri"/>
                <w:color w:val="000000" w:themeColor="text1" w:themeTint="FF" w:themeShade="FF"/>
                <w:sz w:val="20"/>
                <w:szCs w:val="20"/>
                <w:lang w:val="es-CO"/>
              </w:rPr>
              <w:t>Componente geológico</w:t>
            </w:r>
          </w:p>
          <w:p w:rsidR="00527B8C" w:rsidP="544B9055" w:rsidRDefault="00527B8C" w14:paraId="1F2C8EE4" w14:textId="77777777">
            <w:pPr>
              <w:spacing w:after="0" w:line="276" w:lineRule="auto"/>
              <w:jc w:val="both"/>
              <w:rPr>
                <w:rFonts w:cs="Calibri"/>
                <w:color w:val="000000" w:themeColor="text1"/>
                <w:sz w:val="16"/>
                <w:szCs w:val="16"/>
                <w:lang w:val="es-CO"/>
              </w:rPr>
            </w:pPr>
          </w:p>
          <w:p w:rsidR="00527B8C" w:rsidP="544B9055" w:rsidRDefault="00212A57" w14:paraId="0B728863" w14:textId="77777777">
            <w:pPr>
              <w:spacing w:after="0" w:line="276" w:lineRule="auto"/>
              <w:jc w:val="both"/>
              <w:rPr>
                <w:rFonts w:cs="Calibri"/>
                <w:color w:val="000000" w:themeColor="text1"/>
                <w:sz w:val="24"/>
                <w:szCs w:val="24"/>
                <w:lang w:val="es-CO"/>
              </w:rPr>
            </w:pPr>
            <w:r w:rsidRPr="544B9055" w:rsidR="00212A57">
              <w:rPr>
                <w:rFonts w:cs="Calibri"/>
                <w:color w:val="000000" w:themeColor="text1" w:themeTint="FF" w:themeShade="FF"/>
                <w:sz w:val="24"/>
                <w:szCs w:val="24"/>
                <w:lang w:val="es-CO"/>
              </w:rPr>
              <w:t>Lilibeth Rojas Guerrero</w:t>
            </w:r>
          </w:p>
          <w:p w:rsidR="00527B8C" w:rsidP="544B9055" w:rsidRDefault="00212A57" w14:paraId="43E70359" w14:textId="77777777">
            <w:pPr>
              <w:spacing w:after="0" w:line="276" w:lineRule="auto"/>
              <w:jc w:val="both"/>
              <w:rPr>
                <w:rFonts w:cs="Calibri"/>
                <w:color w:val="000000" w:themeColor="text1"/>
                <w:sz w:val="20"/>
                <w:szCs w:val="20"/>
                <w:lang w:val="es-CO"/>
              </w:rPr>
            </w:pPr>
            <w:r w:rsidRPr="544B9055" w:rsidR="00212A57">
              <w:rPr>
                <w:rFonts w:cs="Calibri"/>
                <w:color w:val="000000" w:themeColor="text1" w:themeTint="FF" w:themeShade="FF"/>
                <w:sz w:val="20"/>
                <w:szCs w:val="20"/>
                <w:lang w:val="es-CO"/>
              </w:rPr>
              <w:t>Marco regulatorio</w:t>
            </w:r>
          </w:p>
          <w:p w:rsidR="00527B8C" w:rsidP="544B9055" w:rsidRDefault="00527B8C" w14:paraId="10784ED1" w14:textId="77777777">
            <w:pPr>
              <w:spacing w:after="0" w:line="276" w:lineRule="auto"/>
              <w:jc w:val="both"/>
              <w:rPr>
                <w:rFonts w:cs="Calibri"/>
                <w:color w:val="000000" w:themeColor="text1"/>
                <w:sz w:val="16"/>
                <w:szCs w:val="16"/>
                <w:lang w:val="es-CO"/>
              </w:rPr>
            </w:pPr>
          </w:p>
          <w:p w:rsidR="00527B8C" w:rsidP="544B9055" w:rsidRDefault="00212A57" w14:paraId="72746776" w14:textId="77777777">
            <w:pPr>
              <w:spacing w:after="0" w:line="276" w:lineRule="auto"/>
              <w:jc w:val="both"/>
              <w:rPr>
                <w:rFonts w:cs="Calibri"/>
                <w:color w:val="000000" w:themeColor="text1"/>
                <w:sz w:val="24"/>
                <w:szCs w:val="24"/>
                <w:lang w:val="es-CO"/>
              </w:rPr>
            </w:pPr>
            <w:r w:rsidRPr="544B9055" w:rsidR="00212A57">
              <w:rPr>
                <w:rFonts w:cs="Calibri"/>
                <w:color w:val="000000" w:themeColor="text1" w:themeTint="FF" w:themeShade="FF"/>
                <w:sz w:val="24"/>
                <w:szCs w:val="24"/>
                <w:lang w:val="es-CO"/>
              </w:rPr>
              <w:t>Luis Felipe Bogoya Burgos</w:t>
            </w:r>
          </w:p>
          <w:p w:rsidR="00527B8C" w:rsidP="544B9055" w:rsidRDefault="00212A57" w14:paraId="76B21B44" w14:textId="77777777">
            <w:pPr>
              <w:spacing w:after="0" w:line="276" w:lineRule="auto"/>
              <w:jc w:val="both"/>
              <w:rPr>
                <w:rFonts w:cs="Calibri"/>
                <w:color w:val="000000" w:themeColor="text1"/>
                <w:sz w:val="20"/>
                <w:szCs w:val="20"/>
                <w:lang w:val="es-CO"/>
              </w:rPr>
            </w:pPr>
            <w:r w:rsidRPr="544B9055" w:rsidR="00212A57">
              <w:rPr>
                <w:rFonts w:cs="Calibri"/>
                <w:color w:val="000000" w:themeColor="text1" w:themeTint="FF" w:themeShade="FF"/>
                <w:sz w:val="20"/>
                <w:szCs w:val="20"/>
                <w:lang w:val="es-CO"/>
              </w:rPr>
              <w:t>Conflictos socioambientales</w:t>
            </w:r>
          </w:p>
          <w:p w:rsidR="00527B8C" w:rsidP="544B9055" w:rsidRDefault="00527B8C" w14:paraId="29CCF438" w14:textId="77777777">
            <w:pPr>
              <w:spacing w:after="0" w:line="276" w:lineRule="auto"/>
              <w:jc w:val="both"/>
              <w:rPr>
                <w:rFonts w:cs="Calibri"/>
                <w:color w:val="000000" w:themeColor="text1"/>
                <w:sz w:val="16"/>
                <w:szCs w:val="16"/>
                <w:lang w:val="es-CO"/>
              </w:rPr>
            </w:pPr>
          </w:p>
          <w:p w:rsidR="00527B8C" w:rsidP="544B9055" w:rsidRDefault="00212A57" w14:paraId="36C1CD34" w14:textId="77777777">
            <w:pPr>
              <w:spacing w:after="0" w:line="276" w:lineRule="auto"/>
              <w:jc w:val="both"/>
              <w:rPr>
                <w:rFonts w:cs="Calibri"/>
                <w:color w:val="000000" w:themeColor="text1"/>
                <w:sz w:val="24"/>
                <w:szCs w:val="24"/>
                <w:lang w:val="es-CO"/>
              </w:rPr>
            </w:pPr>
            <w:r w:rsidRPr="544B9055" w:rsidR="00212A57">
              <w:rPr>
                <w:rFonts w:cs="Calibri"/>
                <w:color w:val="000000" w:themeColor="text1" w:themeTint="FF" w:themeShade="FF"/>
                <w:sz w:val="24"/>
                <w:szCs w:val="24"/>
                <w:lang w:val="es-CO"/>
              </w:rPr>
              <w:t>Luz Esmeralda Garay Rojas</w:t>
            </w:r>
          </w:p>
          <w:p w:rsidR="00527B8C" w:rsidP="544B9055" w:rsidRDefault="00212A57" w14:paraId="43EA1AF5" w14:textId="77777777">
            <w:pPr>
              <w:spacing w:after="0" w:line="276" w:lineRule="auto"/>
              <w:jc w:val="both"/>
              <w:rPr>
                <w:rFonts w:cs="Calibri"/>
                <w:color w:val="000000" w:themeColor="text1"/>
                <w:sz w:val="20"/>
                <w:szCs w:val="20"/>
                <w:lang w:val="es-CO"/>
              </w:rPr>
            </w:pPr>
            <w:r w:rsidRPr="544B9055" w:rsidR="00212A57">
              <w:rPr>
                <w:rFonts w:cs="Calibri"/>
                <w:color w:val="000000" w:themeColor="text1" w:themeTint="FF" w:themeShade="FF"/>
                <w:sz w:val="20"/>
                <w:szCs w:val="20"/>
                <w:lang w:val="es-CO"/>
              </w:rPr>
              <w:t>Corrección de estilo</w:t>
            </w:r>
          </w:p>
          <w:p w:rsidR="00527B8C" w:rsidP="544B9055" w:rsidRDefault="00527B8C" w14:paraId="07190565" w14:textId="77777777">
            <w:pPr>
              <w:spacing w:after="0" w:line="276" w:lineRule="auto"/>
              <w:jc w:val="both"/>
              <w:rPr>
                <w:rFonts w:cs="Calibri"/>
                <w:color w:val="000000" w:themeColor="text1"/>
                <w:sz w:val="16"/>
                <w:szCs w:val="16"/>
                <w:lang w:val="es-CO"/>
              </w:rPr>
            </w:pPr>
          </w:p>
          <w:p w:rsidR="00527B8C" w:rsidP="544B9055" w:rsidRDefault="00212A57" w14:paraId="65F0A5BE" w14:textId="77777777">
            <w:pPr>
              <w:spacing w:after="0" w:line="276" w:lineRule="auto"/>
              <w:jc w:val="both"/>
              <w:rPr>
                <w:rFonts w:cs="Calibri"/>
                <w:color w:val="000000" w:themeColor="text1"/>
                <w:sz w:val="24"/>
                <w:szCs w:val="24"/>
                <w:lang w:val="es-CO"/>
              </w:rPr>
            </w:pPr>
            <w:r w:rsidRPr="544B9055" w:rsidR="00212A57">
              <w:rPr>
                <w:rFonts w:cs="Calibri"/>
                <w:color w:val="000000" w:themeColor="text1" w:themeTint="FF" w:themeShade="FF"/>
                <w:sz w:val="24"/>
                <w:szCs w:val="24"/>
                <w:lang w:val="es-CO"/>
              </w:rPr>
              <w:t>Natalia González Moriano</w:t>
            </w:r>
          </w:p>
          <w:p w:rsidR="00527B8C" w:rsidP="544B9055" w:rsidRDefault="00212A57" w14:paraId="5C1350C0" w14:textId="77777777">
            <w:pPr>
              <w:spacing w:after="0" w:line="276" w:lineRule="auto"/>
              <w:jc w:val="both"/>
              <w:rPr>
                <w:rFonts w:cs="Calibri"/>
                <w:color w:val="000000" w:themeColor="text1"/>
                <w:sz w:val="20"/>
                <w:szCs w:val="20"/>
                <w:lang w:val="es-CO"/>
              </w:rPr>
            </w:pPr>
            <w:r w:rsidRPr="544B9055" w:rsidR="00212A57">
              <w:rPr>
                <w:rFonts w:cs="Calibri"/>
                <w:color w:val="000000" w:themeColor="text1" w:themeTint="FF" w:themeShade="FF"/>
                <w:sz w:val="20"/>
                <w:szCs w:val="20"/>
                <w:lang w:val="es-CO"/>
              </w:rPr>
              <w:t>Diseño portada y diagramación</w:t>
            </w:r>
          </w:p>
          <w:p w:rsidR="00527B8C" w:rsidP="544B9055" w:rsidRDefault="00527B8C" w14:paraId="6C0DB0B6" w14:textId="77777777">
            <w:pPr>
              <w:spacing w:after="0" w:line="276" w:lineRule="auto"/>
              <w:jc w:val="both"/>
              <w:rPr>
                <w:rFonts w:cs="Calibri"/>
                <w:color w:val="000000" w:themeColor="text1"/>
                <w:sz w:val="16"/>
                <w:szCs w:val="16"/>
                <w:lang w:val="es-CO"/>
              </w:rPr>
            </w:pPr>
          </w:p>
          <w:p w:rsidR="00527B8C" w:rsidP="544B9055" w:rsidRDefault="00212A57" w14:paraId="64412396" w14:textId="77777777">
            <w:pPr>
              <w:spacing w:after="0" w:line="276" w:lineRule="auto"/>
              <w:jc w:val="both"/>
              <w:rPr>
                <w:rFonts w:cs="Calibri"/>
                <w:color w:val="000000" w:themeColor="text1"/>
                <w:sz w:val="24"/>
                <w:szCs w:val="24"/>
              </w:rPr>
            </w:pPr>
            <w:r w:rsidRPr="544B9055" w:rsidR="00212A57">
              <w:rPr>
                <w:rFonts w:cs="Calibri"/>
                <w:color w:val="000000" w:themeColor="text1" w:themeTint="FF" w:themeShade="FF"/>
                <w:sz w:val="24"/>
                <w:szCs w:val="24"/>
                <w:lang w:val="es-CO"/>
              </w:rPr>
              <w:t>Víctor Manuel Ordoñez Fernández</w:t>
            </w:r>
          </w:p>
          <w:p w:rsidR="00527B8C" w:rsidP="544B9055" w:rsidRDefault="00212A57" w14:paraId="587D8E9D" w14:textId="77777777">
            <w:pPr>
              <w:spacing w:after="0" w:line="276" w:lineRule="auto"/>
              <w:jc w:val="both"/>
              <w:rPr>
                <w:rFonts w:cs="Calibri"/>
                <w:color w:val="000000" w:themeColor="text1"/>
                <w:sz w:val="20"/>
                <w:szCs w:val="20"/>
                <w:lang w:val="es-CO"/>
              </w:rPr>
            </w:pPr>
            <w:r w:rsidRPr="544B9055" w:rsidR="00212A57">
              <w:rPr>
                <w:rFonts w:cs="Calibri"/>
                <w:color w:val="000000" w:themeColor="text1" w:themeTint="FF" w:themeShade="FF"/>
                <w:sz w:val="20"/>
                <w:szCs w:val="20"/>
                <w:lang w:val="es-CO"/>
              </w:rPr>
              <w:t>Comp. biodiversidad - S. Ecosistémicos</w:t>
            </w:r>
          </w:p>
          <w:p w:rsidR="544B9055" w:rsidP="544B9055" w:rsidRDefault="544B9055" w14:paraId="2B21517A" w14:textId="62A54622">
            <w:pPr>
              <w:spacing w:after="0" w:line="276" w:lineRule="auto"/>
              <w:jc w:val="both"/>
              <w:rPr>
                <w:rFonts w:cs="Calibri"/>
                <w:color w:val="000000" w:themeColor="text1" w:themeTint="FF" w:themeShade="FF"/>
                <w:sz w:val="16"/>
                <w:szCs w:val="16"/>
                <w:lang w:val="es-CO"/>
              </w:rPr>
            </w:pPr>
          </w:p>
          <w:p w:rsidR="00297356" w:rsidP="544B9055" w:rsidRDefault="00297356" w14:paraId="07F47D49" w14:textId="1473976C">
            <w:pPr>
              <w:spacing w:after="0" w:line="276" w:lineRule="auto"/>
              <w:jc w:val="both"/>
              <w:rPr>
                <w:rFonts w:cs="Calibri"/>
                <w:color w:val="000000" w:themeColor="text1"/>
                <w:sz w:val="24"/>
                <w:szCs w:val="24"/>
                <w:lang w:val="es-CO"/>
              </w:rPr>
            </w:pPr>
            <w:r w:rsidRPr="544B9055" w:rsidR="7388848B">
              <w:rPr>
                <w:rFonts w:cs="Calibri"/>
                <w:color w:val="000000" w:themeColor="text1" w:themeTint="FF" w:themeShade="FF"/>
                <w:sz w:val="24"/>
                <w:szCs w:val="24"/>
                <w:lang w:val="es-CO"/>
              </w:rPr>
              <w:t>Yein</w:t>
            </w:r>
            <w:r w:rsidRPr="544B9055" w:rsidR="68B9C774">
              <w:rPr>
                <w:rFonts w:cs="Calibri"/>
                <w:color w:val="000000" w:themeColor="text1" w:themeTint="FF" w:themeShade="FF"/>
                <w:sz w:val="24"/>
                <w:szCs w:val="24"/>
                <w:lang w:val="es-CO"/>
              </w:rPr>
              <w:t>y</w:t>
            </w:r>
            <w:r w:rsidRPr="544B9055" w:rsidR="7388848B">
              <w:rPr>
                <w:rFonts w:cs="Calibri"/>
                <w:color w:val="000000" w:themeColor="text1" w:themeTint="FF" w:themeShade="FF"/>
                <w:sz w:val="24"/>
                <w:szCs w:val="24"/>
                <w:lang w:val="es-CO"/>
              </w:rPr>
              <w:t xml:space="preserve"> Carolina </w:t>
            </w:r>
            <w:r w:rsidRPr="544B9055" w:rsidR="524B97F6">
              <w:rPr>
                <w:rFonts w:cs="Calibri"/>
                <w:color w:val="000000" w:themeColor="text1" w:themeTint="FF" w:themeShade="FF"/>
                <w:sz w:val="24"/>
                <w:szCs w:val="24"/>
                <w:lang w:val="es-CO"/>
              </w:rPr>
              <w:t xml:space="preserve">Torres </w:t>
            </w:r>
            <w:r w:rsidRPr="544B9055" w:rsidR="7388848B">
              <w:rPr>
                <w:rFonts w:cs="Calibri"/>
                <w:color w:val="000000" w:themeColor="text1" w:themeTint="FF" w:themeShade="FF"/>
                <w:sz w:val="24"/>
                <w:szCs w:val="24"/>
                <w:lang w:val="es-CO"/>
              </w:rPr>
              <w:t>Bocachica</w:t>
            </w:r>
          </w:p>
          <w:p w:rsidRPr="00297356" w:rsidR="00297356" w:rsidP="544B9055" w:rsidRDefault="00297356" w14:paraId="31FF19DE" w14:textId="223AF5E2">
            <w:pPr>
              <w:spacing w:after="0" w:line="276" w:lineRule="auto"/>
              <w:jc w:val="both"/>
              <w:rPr>
                <w:rFonts w:cs="Calibri"/>
                <w:color w:val="000000" w:themeColor="text1"/>
                <w:sz w:val="20"/>
                <w:szCs w:val="20"/>
                <w:lang w:val="es-CO"/>
              </w:rPr>
            </w:pPr>
            <w:r w:rsidRPr="544B9055" w:rsidR="12248205">
              <w:rPr>
                <w:rFonts w:cs="Calibri"/>
                <w:color w:val="000000" w:themeColor="text1" w:themeTint="FF" w:themeShade="FF"/>
                <w:sz w:val="20"/>
                <w:szCs w:val="20"/>
                <w:lang w:val="es-CO"/>
              </w:rPr>
              <w:t>Impactos a la salud</w:t>
            </w:r>
          </w:p>
        </w:tc>
      </w:tr>
    </w:tbl>
    <w:p w:rsidR="00527B8C" w:rsidP="53DEF7DD" w:rsidRDefault="00212A57" w14:paraId="63E6A398" w14:textId="77777777">
      <w:pPr>
        <w:pStyle w:val="Normal"/>
        <w:jc w:val="center"/>
        <w:rPr>
          <w:b w:val="1"/>
          <w:bCs w:val="1"/>
          <w:color w:val="0070C0"/>
          <w:sz w:val="24"/>
          <w:szCs w:val="24"/>
          <w:lang w:val="es-CO"/>
        </w:rPr>
      </w:pPr>
      <w:bookmarkStart w:name="_Toc216558610" w:id="0"/>
      <w:r w:rsidRPr="53DEF7DD" w:rsidR="670101B5">
        <w:rPr>
          <w:b w:val="1"/>
          <w:bCs w:val="1"/>
          <w:color w:val="0070C0"/>
          <w:sz w:val="24"/>
          <w:szCs w:val="24"/>
          <w:lang w:val="es-CO"/>
        </w:rPr>
        <w:t>Línea Base de la Minería de Materiales de Construcción en Colombia con Énfasis en la Región Amazónica (2025)</w:t>
      </w:r>
      <w:bookmarkEnd w:id="0"/>
    </w:p>
    <w:p w:rsidRPr="00141E99" w:rsidR="00141E99" w:rsidP="00141E99" w:rsidRDefault="00141E99" w14:paraId="73C180CA" w14:textId="49655757">
      <w:pPr>
        <w:spacing w:after="0" w:line="360" w:lineRule="auto"/>
        <w:jc w:val="center"/>
        <w:rPr>
          <w:rFonts w:cs="Calibri"/>
          <w:b/>
          <w:bCs/>
          <w:color w:val="4F81BD" w:themeColor="accent1"/>
          <w:sz w:val="24"/>
          <w:szCs w:val="24"/>
          <w:lang w:val="es-CO"/>
        </w:rPr>
      </w:pPr>
      <w:r w:rsidRPr="53DEF7DD" w:rsidR="770E4ABA">
        <w:rPr>
          <w:rFonts w:cs="Calibri"/>
          <w:b w:val="1"/>
          <w:bCs w:val="1"/>
          <w:color w:val="4F81BD" w:themeColor="accent1" w:themeTint="FF" w:themeShade="FF"/>
          <w:sz w:val="24"/>
          <w:szCs w:val="24"/>
          <w:lang w:val="es-CO"/>
        </w:rPr>
        <w:t>Tabla de contenido</w:t>
      </w:r>
    </w:p>
    <w:sdt>
      <w:sdtPr>
        <w:id w:val="51164717"/>
        <w:docPartObj>
          <w:docPartGallery w:val="Table of Contents"/>
          <w:docPartUnique/>
        </w:docPartObj>
      </w:sdtPr>
      <w:sdtContent>
        <w:p w:rsidR="00527B8C" w:rsidP="53DEF7DD" w:rsidRDefault="00212A57" w14:paraId="15C7D512" w14:textId="3BE421D7">
          <w:pPr>
            <w:pStyle w:val="TDC1"/>
            <w:tabs>
              <w:tab w:val="right" w:leader="dot" w:pos="9360"/>
            </w:tabs>
            <w:bidi w:val="0"/>
            <w:spacing w:before="0" w:line="240" w:lineRule="auto"/>
            <w:rPr>
              <w:rStyle w:val="Hipervnculo"/>
            </w:rPr>
          </w:pPr>
          <w:r>
            <w:fldChar w:fldCharType="begin"/>
          </w:r>
          <w:r>
            <w:instrText xml:space="preserve">TOC \o "1-9" \z \u \h</w:instrText>
          </w:r>
          <w:r>
            <w:fldChar w:fldCharType="separate"/>
          </w:r>
          <w:hyperlink w:anchor="_Toc193181283">
            <w:r w:rsidRPr="53DEF7DD" w:rsidR="53DEF7DD">
              <w:rPr>
                <w:rStyle w:val="Hipervnculo"/>
              </w:rPr>
              <w:t>1. Introducción</w:t>
            </w:r>
            <w:r>
              <w:tab/>
            </w:r>
            <w:r>
              <w:fldChar w:fldCharType="begin"/>
            </w:r>
            <w:r>
              <w:instrText xml:space="preserve">PAGEREF _Toc193181283 \h</w:instrText>
            </w:r>
            <w:r>
              <w:fldChar w:fldCharType="separate"/>
            </w:r>
            <w:r w:rsidRPr="53DEF7DD" w:rsidR="53DEF7DD">
              <w:rPr>
                <w:rStyle w:val="Hipervnculo"/>
              </w:rPr>
              <w:t>3</w:t>
            </w:r>
            <w:r>
              <w:fldChar w:fldCharType="end"/>
            </w:r>
          </w:hyperlink>
        </w:p>
        <w:p w:rsidR="00527B8C" w:rsidP="53DEF7DD" w:rsidRDefault="00212A57" w14:paraId="1A662D8F" w14:textId="20933D77">
          <w:pPr>
            <w:pStyle w:val="TDC1"/>
            <w:tabs>
              <w:tab w:val="right" w:leader="dot" w:pos="9360"/>
            </w:tabs>
            <w:bidi w:val="0"/>
            <w:spacing w:before="0" w:line="240" w:lineRule="auto"/>
            <w:rPr>
              <w:rStyle w:val="Hipervnculo"/>
            </w:rPr>
          </w:pPr>
          <w:hyperlink w:anchor="_Toc1073662793">
            <w:r w:rsidRPr="53DEF7DD" w:rsidR="53DEF7DD">
              <w:rPr>
                <w:rStyle w:val="Hipervnculo"/>
              </w:rPr>
              <w:t>2. Definición técnica</w:t>
            </w:r>
            <w:r>
              <w:tab/>
            </w:r>
            <w:r>
              <w:fldChar w:fldCharType="begin"/>
            </w:r>
            <w:r>
              <w:instrText xml:space="preserve">PAGEREF _Toc1073662793 \h</w:instrText>
            </w:r>
            <w:r>
              <w:fldChar w:fldCharType="separate"/>
            </w:r>
            <w:r w:rsidRPr="53DEF7DD" w:rsidR="53DEF7DD">
              <w:rPr>
                <w:rStyle w:val="Hipervnculo"/>
              </w:rPr>
              <w:t>4</w:t>
            </w:r>
            <w:r>
              <w:fldChar w:fldCharType="end"/>
            </w:r>
          </w:hyperlink>
        </w:p>
        <w:p w:rsidR="00527B8C" w:rsidP="53DEF7DD" w:rsidRDefault="00212A57" w14:paraId="55AF9623" w14:textId="32FD2DE2">
          <w:pPr>
            <w:pStyle w:val="TDC2"/>
            <w:tabs>
              <w:tab w:val="left" w:leader="none" w:pos="660"/>
              <w:tab w:val="right" w:leader="dot" w:pos="9360"/>
            </w:tabs>
            <w:bidi w:val="0"/>
            <w:spacing w:before="0" w:line="240" w:lineRule="auto"/>
            <w:rPr>
              <w:rStyle w:val="Hipervnculo"/>
            </w:rPr>
          </w:pPr>
          <w:hyperlink w:anchor="_Toc1895400762">
            <w:r w:rsidRPr="53DEF7DD" w:rsidR="53DEF7DD">
              <w:rPr>
                <w:rStyle w:val="Hipervnculo"/>
              </w:rPr>
              <w:t>2.1.</w:t>
            </w:r>
            <w:r>
              <w:tab/>
            </w:r>
            <w:r w:rsidRPr="53DEF7DD" w:rsidR="53DEF7DD">
              <w:rPr>
                <w:rStyle w:val="Hipervnculo"/>
              </w:rPr>
              <w:t>Origen y clasificación</w:t>
            </w:r>
            <w:r>
              <w:tab/>
            </w:r>
            <w:r>
              <w:fldChar w:fldCharType="begin"/>
            </w:r>
            <w:r>
              <w:instrText xml:space="preserve">PAGEREF _Toc1895400762 \h</w:instrText>
            </w:r>
            <w:r>
              <w:fldChar w:fldCharType="separate"/>
            </w:r>
            <w:r w:rsidRPr="53DEF7DD" w:rsidR="53DEF7DD">
              <w:rPr>
                <w:rStyle w:val="Hipervnculo"/>
              </w:rPr>
              <w:t>5</w:t>
            </w:r>
            <w:r>
              <w:fldChar w:fldCharType="end"/>
            </w:r>
          </w:hyperlink>
        </w:p>
        <w:p w:rsidR="00527B8C" w:rsidP="53DEF7DD" w:rsidRDefault="00212A57" w14:paraId="093B2F0A" w14:textId="2B3F0BDA">
          <w:pPr>
            <w:pStyle w:val="TDC2"/>
            <w:tabs>
              <w:tab w:val="left" w:leader="none" w:pos="660"/>
              <w:tab w:val="right" w:leader="dot" w:pos="9360"/>
            </w:tabs>
            <w:bidi w:val="0"/>
            <w:spacing w:before="0" w:line="240" w:lineRule="auto"/>
            <w:rPr>
              <w:rStyle w:val="Hipervnculo"/>
            </w:rPr>
          </w:pPr>
          <w:hyperlink w:anchor="_Toc1844032116">
            <w:r w:rsidRPr="53DEF7DD" w:rsidR="53DEF7DD">
              <w:rPr>
                <w:rStyle w:val="Hipervnculo"/>
              </w:rPr>
              <w:t>2.2.</w:t>
            </w:r>
            <w:r>
              <w:tab/>
            </w:r>
            <w:r w:rsidRPr="53DEF7DD" w:rsidR="53DEF7DD">
              <w:rPr>
                <w:rStyle w:val="Hipervnculo"/>
              </w:rPr>
              <w:t>Origen geológico:</w:t>
            </w:r>
            <w:r>
              <w:tab/>
            </w:r>
            <w:r>
              <w:fldChar w:fldCharType="begin"/>
            </w:r>
            <w:r>
              <w:instrText xml:space="preserve">PAGEREF _Toc1844032116 \h</w:instrText>
            </w:r>
            <w:r>
              <w:fldChar w:fldCharType="separate"/>
            </w:r>
            <w:r w:rsidRPr="53DEF7DD" w:rsidR="53DEF7DD">
              <w:rPr>
                <w:rStyle w:val="Hipervnculo"/>
              </w:rPr>
              <w:t>6</w:t>
            </w:r>
            <w:r>
              <w:fldChar w:fldCharType="end"/>
            </w:r>
          </w:hyperlink>
        </w:p>
        <w:p w:rsidR="00527B8C" w:rsidP="53DEF7DD" w:rsidRDefault="00212A57" w14:paraId="4156D8AA" w14:textId="0479EF30">
          <w:pPr>
            <w:pStyle w:val="TDC3"/>
            <w:tabs>
              <w:tab w:val="right" w:leader="dot" w:pos="9360"/>
            </w:tabs>
            <w:bidi w:val="0"/>
            <w:spacing w:before="0" w:line="240" w:lineRule="auto"/>
            <w:rPr>
              <w:rStyle w:val="Hipervnculo"/>
            </w:rPr>
          </w:pPr>
          <w:hyperlink w:anchor="_Toc1804728455">
            <w:r w:rsidRPr="53DEF7DD" w:rsidR="53DEF7DD">
              <w:rPr>
                <w:rStyle w:val="Hipervnculo"/>
              </w:rPr>
              <w:t>2.2.1. Geología y recursos:</w:t>
            </w:r>
            <w:r>
              <w:tab/>
            </w:r>
            <w:r>
              <w:fldChar w:fldCharType="begin"/>
            </w:r>
            <w:r>
              <w:instrText xml:space="preserve">PAGEREF _Toc1804728455 \h</w:instrText>
            </w:r>
            <w:r>
              <w:fldChar w:fldCharType="separate"/>
            </w:r>
            <w:r w:rsidRPr="53DEF7DD" w:rsidR="53DEF7DD">
              <w:rPr>
                <w:rStyle w:val="Hipervnculo"/>
              </w:rPr>
              <w:t>7</w:t>
            </w:r>
            <w:r>
              <w:fldChar w:fldCharType="end"/>
            </w:r>
          </w:hyperlink>
        </w:p>
        <w:p w:rsidR="00527B8C" w:rsidP="53DEF7DD" w:rsidRDefault="00212A57" w14:paraId="2EA5D295" w14:textId="2B4EA42E">
          <w:pPr>
            <w:pStyle w:val="TDC2"/>
            <w:tabs>
              <w:tab w:val="left" w:leader="none" w:pos="660"/>
              <w:tab w:val="right" w:leader="dot" w:pos="9360"/>
            </w:tabs>
            <w:bidi w:val="0"/>
            <w:spacing w:before="0" w:line="240" w:lineRule="auto"/>
            <w:rPr>
              <w:rStyle w:val="Hipervnculo"/>
            </w:rPr>
          </w:pPr>
          <w:hyperlink w:anchor="_Toc1981485523">
            <w:r w:rsidRPr="53DEF7DD" w:rsidR="53DEF7DD">
              <w:rPr>
                <w:rStyle w:val="Hipervnculo"/>
              </w:rPr>
              <w:t>2.3.</w:t>
            </w:r>
            <w:r>
              <w:tab/>
            </w:r>
            <w:r w:rsidRPr="53DEF7DD" w:rsidR="53DEF7DD">
              <w:rPr>
                <w:rStyle w:val="Hipervnculo"/>
              </w:rPr>
              <w:t>Características principales</w:t>
            </w:r>
            <w:r>
              <w:tab/>
            </w:r>
            <w:r>
              <w:fldChar w:fldCharType="begin"/>
            </w:r>
            <w:r>
              <w:instrText xml:space="preserve">PAGEREF _Toc1981485523 \h</w:instrText>
            </w:r>
            <w:r>
              <w:fldChar w:fldCharType="separate"/>
            </w:r>
            <w:r w:rsidRPr="53DEF7DD" w:rsidR="53DEF7DD">
              <w:rPr>
                <w:rStyle w:val="Hipervnculo"/>
              </w:rPr>
              <w:t>8</w:t>
            </w:r>
            <w:r>
              <w:fldChar w:fldCharType="end"/>
            </w:r>
          </w:hyperlink>
        </w:p>
        <w:p w:rsidR="00527B8C" w:rsidP="53DEF7DD" w:rsidRDefault="00212A57" w14:paraId="04AF8ED9" w14:textId="0CD06D71">
          <w:pPr>
            <w:pStyle w:val="TDC2"/>
            <w:tabs>
              <w:tab w:val="left" w:leader="none" w:pos="660"/>
              <w:tab w:val="right" w:leader="dot" w:pos="9360"/>
            </w:tabs>
            <w:bidi w:val="0"/>
            <w:spacing w:before="0" w:line="240" w:lineRule="auto"/>
            <w:rPr>
              <w:rStyle w:val="Hipervnculo"/>
            </w:rPr>
          </w:pPr>
          <w:hyperlink w:anchor="_Toc561633747">
            <w:r w:rsidRPr="53DEF7DD" w:rsidR="53DEF7DD">
              <w:rPr>
                <w:rStyle w:val="Hipervnculo"/>
              </w:rPr>
              <w:t>2.4.</w:t>
            </w:r>
            <w:r>
              <w:tab/>
            </w:r>
            <w:r w:rsidRPr="53DEF7DD" w:rsidR="53DEF7DD">
              <w:rPr>
                <w:rStyle w:val="Hipervnculo"/>
              </w:rPr>
              <w:t>Propiedades clave</w:t>
            </w:r>
            <w:r>
              <w:tab/>
            </w:r>
            <w:r>
              <w:fldChar w:fldCharType="begin"/>
            </w:r>
            <w:r>
              <w:instrText xml:space="preserve">PAGEREF _Toc561633747 \h</w:instrText>
            </w:r>
            <w:r>
              <w:fldChar w:fldCharType="separate"/>
            </w:r>
            <w:r w:rsidRPr="53DEF7DD" w:rsidR="53DEF7DD">
              <w:rPr>
                <w:rStyle w:val="Hipervnculo"/>
              </w:rPr>
              <w:t>8</w:t>
            </w:r>
            <w:r>
              <w:fldChar w:fldCharType="end"/>
            </w:r>
          </w:hyperlink>
        </w:p>
        <w:p w:rsidR="00527B8C" w:rsidP="53DEF7DD" w:rsidRDefault="00212A57" w14:paraId="233E0DF0" w14:textId="482517EC">
          <w:pPr>
            <w:pStyle w:val="TDC2"/>
            <w:tabs>
              <w:tab w:val="left" w:leader="none" w:pos="660"/>
              <w:tab w:val="right" w:leader="dot" w:pos="9360"/>
            </w:tabs>
            <w:bidi w:val="0"/>
            <w:spacing w:before="0" w:line="240" w:lineRule="auto"/>
            <w:rPr>
              <w:rStyle w:val="Hipervnculo"/>
            </w:rPr>
          </w:pPr>
          <w:hyperlink w:anchor="_Toc1435297849">
            <w:r w:rsidRPr="53DEF7DD" w:rsidR="53DEF7DD">
              <w:rPr>
                <w:rStyle w:val="Hipervnculo"/>
              </w:rPr>
              <w:t>2.5.</w:t>
            </w:r>
            <w:r>
              <w:tab/>
            </w:r>
            <w:r w:rsidRPr="53DEF7DD" w:rsidR="53DEF7DD">
              <w:rPr>
                <w:rStyle w:val="Hipervnculo"/>
              </w:rPr>
              <w:t>Importancia en construcción</w:t>
            </w:r>
            <w:r>
              <w:tab/>
            </w:r>
            <w:r>
              <w:fldChar w:fldCharType="begin"/>
            </w:r>
            <w:r>
              <w:instrText xml:space="preserve">PAGEREF _Toc1435297849 \h</w:instrText>
            </w:r>
            <w:r>
              <w:fldChar w:fldCharType="separate"/>
            </w:r>
            <w:r w:rsidRPr="53DEF7DD" w:rsidR="53DEF7DD">
              <w:rPr>
                <w:rStyle w:val="Hipervnculo"/>
              </w:rPr>
              <w:t>9</w:t>
            </w:r>
            <w:r>
              <w:fldChar w:fldCharType="end"/>
            </w:r>
          </w:hyperlink>
        </w:p>
        <w:p w:rsidR="00527B8C" w:rsidP="53DEF7DD" w:rsidRDefault="00212A57" w14:paraId="1AFD0AA8" w14:textId="464C656F">
          <w:pPr>
            <w:pStyle w:val="TDC2"/>
            <w:tabs>
              <w:tab w:val="left" w:leader="none" w:pos="660"/>
              <w:tab w:val="right" w:leader="dot" w:pos="9360"/>
            </w:tabs>
            <w:bidi w:val="0"/>
            <w:spacing w:before="0" w:line="240" w:lineRule="auto"/>
            <w:rPr>
              <w:rStyle w:val="Hipervnculo"/>
            </w:rPr>
          </w:pPr>
          <w:hyperlink w:anchor="_Toc374231183">
            <w:r w:rsidRPr="53DEF7DD" w:rsidR="53DEF7DD">
              <w:rPr>
                <w:rStyle w:val="Hipervnculo"/>
              </w:rPr>
              <w:t>2.6.</w:t>
            </w:r>
            <w:r>
              <w:tab/>
            </w:r>
            <w:r w:rsidRPr="53DEF7DD" w:rsidR="53DEF7DD">
              <w:rPr>
                <w:rStyle w:val="Hipervnculo"/>
              </w:rPr>
              <w:t>Normativa aplicable en Colombia</w:t>
            </w:r>
            <w:r>
              <w:tab/>
            </w:r>
            <w:r>
              <w:fldChar w:fldCharType="begin"/>
            </w:r>
            <w:r>
              <w:instrText xml:space="preserve">PAGEREF _Toc374231183 \h</w:instrText>
            </w:r>
            <w:r>
              <w:fldChar w:fldCharType="separate"/>
            </w:r>
            <w:r w:rsidRPr="53DEF7DD" w:rsidR="53DEF7DD">
              <w:rPr>
                <w:rStyle w:val="Hipervnculo"/>
              </w:rPr>
              <w:t>9</w:t>
            </w:r>
            <w:r>
              <w:fldChar w:fldCharType="end"/>
            </w:r>
          </w:hyperlink>
        </w:p>
        <w:p w:rsidR="00527B8C" w:rsidP="53DEF7DD" w:rsidRDefault="00212A57" w14:paraId="19641008" w14:textId="0D855E68">
          <w:pPr>
            <w:pStyle w:val="TDC2"/>
            <w:tabs>
              <w:tab w:val="right" w:leader="dot" w:pos="9360"/>
            </w:tabs>
            <w:bidi w:val="0"/>
            <w:spacing w:before="0" w:line="240" w:lineRule="auto"/>
            <w:rPr>
              <w:rStyle w:val="Hipervnculo"/>
            </w:rPr>
          </w:pPr>
          <w:hyperlink w:anchor="_Toc1934448036">
            <w:r w:rsidRPr="53DEF7DD" w:rsidR="53DEF7DD">
              <w:rPr>
                <w:rStyle w:val="Hipervnculo"/>
              </w:rPr>
              <w:t>Tabla No. 1 Marco regulatorio para la minería de material de arrastre</w:t>
            </w:r>
            <w:r>
              <w:tab/>
            </w:r>
            <w:r>
              <w:fldChar w:fldCharType="begin"/>
            </w:r>
            <w:r>
              <w:instrText xml:space="preserve">PAGEREF _Toc1934448036 \h</w:instrText>
            </w:r>
            <w:r>
              <w:fldChar w:fldCharType="separate"/>
            </w:r>
            <w:r w:rsidRPr="53DEF7DD" w:rsidR="53DEF7DD">
              <w:rPr>
                <w:rStyle w:val="Hipervnculo"/>
              </w:rPr>
              <w:t>10</w:t>
            </w:r>
            <w:r>
              <w:fldChar w:fldCharType="end"/>
            </w:r>
          </w:hyperlink>
        </w:p>
        <w:p w:rsidR="00527B8C" w:rsidP="53DEF7DD" w:rsidRDefault="00212A57" w14:paraId="0E6A1780" w14:textId="1392B52D">
          <w:pPr>
            <w:pStyle w:val="TDC3"/>
            <w:tabs>
              <w:tab w:val="right" w:leader="dot" w:pos="9360"/>
            </w:tabs>
            <w:bidi w:val="0"/>
            <w:spacing w:before="0" w:line="240" w:lineRule="auto"/>
            <w:rPr>
              <w:rStyle w:val="Hipervnculo"/>
            </w:rPr>
          </w:pPr>
          <w:hyperlink w:anchor="_Toc964677298">
            <w:r w:rsidRPr="53DEF7DD" w:rsidR="53DEF7DD">
              <w:rPr>
                <w:rStyle w:val="Hipervnculo"/>
              </w:rPr>
              <w:t>2.6.1. Análisis del marco regulatorio aplicado a materiales de arrastre</w:t>
            </w:r>
            <w:r>
              <w:tab/>
            </w:r>
            <w:r>
              <w:fldChar w:fldCharType="begin"/>
            </w:r>
            <w:r>
              <w:instrText xml:space="preserve">PAGEREF _Toc964677298 \h</w:instrText>
            </w:r>
            <w:r>
              <w:fldChar w:fldCharType="separate"/>
            </w:r>
            <w:r w:rsidRPr="53DEF7DD" w:rsidR="53DEF7DD">
              <w:rPr>
                <w:rStyle w:val="Hipervnculo"/>
              </w:rPr>
              <w:t>17</w:t>
            </w:r>
            <w:r>
              <w:fldChar w:fldCharType="end"/>
            </w:r>
          </w:hyperlink>
        </w:p>
        <w:p w:rsidR="00527B8C" w:rsidP="53DEF7DD" w:rsidRDefault="00212A57" w14:paraId="0039277D" w14:textId="359476D2">
          <w:pPr>
            <w:pStyle w:val="TDC4"/>
            <w:tabs>
              <w:tab w:val="right" w:leader="dot" w:pos="9360"/>
            </w:tabs>
            <w:bidi w:val="0"/>
            <w:spacing w:before="0" w:line="240" w:lineRule="auto"/>
            <w:rPr>
              <w:rStyle w:val="Hipervnculo"/>
            </w:rPr>
          </w:pPr>
          <w:hyperlink w:anchor="_Toc482699822">
            <w:r w:rsidRPr="53DEF7DD" w:rsidR="53DEF7DD">
              <w:rPr>
                <w:rStyle w:val="Hipervnculo"/>
              </w:rPr>
              <w:t>2.6.1.1. Síntesis ejecutiva</w:t>
            </w:r>
            <w:r>
              <w:tab/>
            </w:r>
            <w:r>
              <w:fldChar w:fldCharType="begin"/>
            </w:r>
            <w:r>
              <w:instrText xml:space="preserve">PAGEREF _Toc482699822 \h</w:instrText>
            </w:r>
            <w:r>
              <w:fldChar w:fldCharType="separate"/>
            </w:r>
            <w:r w:rsidRPr="53DEF7DD" w:rsidR="53DEF7DD">
              <w:rPr>
                <w:rStyle w:val="Hipervnculo"/>
              </w:rPr>
              <w:t>17</w:t>
            </w:r>
            <w:r>
              <w:fldChar w:fldCharType="end"/>
            </w:r>
          </w:hyperlink>
        </w:p>
        <w:p w:rsidR="00527B8C" w:rsidP="53DEF7DD" w:rsidRDefault="00212A57" w14:paraId="1BD8091A" w14:textId="76304F95">
          <w:pPr>
            <w:pStyle w:val="TDC4"/>
            <w:tabs>
              <w:tab w:val="right" w:leader="dot" w:pos="9360"/>
            </w:tabs>
            <w:bidi w:val="0"/>
            <w:spacing w:before="0" w:line="240" w:lineRule="auto"/>
            <w:rPr>
              <w:rStyle w:val="Hipervnculo"/>
            </w:rPr>
          </w:pPr>
          <w:hyperlink w:anchor="_Toc236603200">
            <w:r w:rsidRPr="53DEF7DD" w:rsidR="53DEF7DD">
              <w:rPr>
                <w:rStyle w:val="Hipervnculo"/>
              </w:rPr>
              <w:t>2.6.1.2. Espíritu general del marco normativo</w:t>
            </w:r>
            <w:r>
              <w:tab/>
            </w:r>
            <w:r>
              <w:fldChar w:fldCharType="begin"/>
            </w:r>
            <w:r>
              <w:instrText xml:space="preserve">PAGEREF _Toc236603200 \h</w:instrText>
            </w:r>
            <w:r>
              <w:fldChar w:fldCharType="separate"/>
            </w:r>
            <w:r w:rsidRPr="53DEF7DD" w:rsidR="53DEF7DD">
              <w:rPr>
                <w:rStyle w:val="Hipervnculo"/>
              </w:rPr>
              <w:t>18</w:t>
            </w:r>
            <w:r>
              <w:fldChar w:fldCharType="end"/>
            </w:r>
          </w:hyperlink>
        </w:p>
        <w:p w:rsidR="00527B8C" w:rsidP="53DEF7DD" w:rsidRDefault="00212A57" w14:paraId="6EA8E06C" w14:textId="08D1B1DB">
          <w:pPr>
            <w:pStyle w:val="TDC4"/>
            <w:tabs>
              <w:tab w:val="right" w:leader="dot" w:pos="9360"/>
            </w:tabs>
            <w:bidi w:val="0"/>
            <w:spacing w:before="0" w:line="240" w:lineRule="auto"/>
            <w:rPr>
              <w:rStyle w:val="Hipervnculo"/>
            </w:rPr>
          </w:pPr>
          <w:hyperlink w:anchor="_Toc166651290">
            <w:r w:rsidRPr="53DEF7DD" w:rsidR="53DEF7DD">
              <w:rPr>
                <w:rStyle w:val="Hipervnculo"/>
              </w:rPr>
              <w:t>2.6.1.3. Temas con mayor protección normativa</w:t>
            </w:r>
            <w:r>
              <w:tab/>
            </w:r>
            <w:r>
              <w:fldChar w:fldCharType="begin"/>
            </w:r>
            <w:r>
              <w:instrText xml:space="preserve">PAGEREF _Toc166651290 \h</w:instrText>
            </w:r>
            <w:r>
              <w:fldChar w:fldCharType="separate"/>
            </w:r>
            <w:r w:rsidRPr="53DEF7DD" w:rsidR="53DEF7DD">
              <w:rPr>
                <w:rStyle w:val="Hipervnculo"/>
              </w:rPr>
              <w:t>18</w:t>
            </w:r>
            <w:r>
              <w:fldChar w:fldCharType="end"/>
            </w:r>
          </w:hyperlink>
        </w:p>
        <w:p w:rsidR="00527B8C" w:rsidP="53DEF7DD" w:rsidRDefault="00212A57" w14:paraId="2A042BE6" w14:textId="095004C1">
          <w:pPr>
            <w:pStyle w:val="TDC4"/>
            <w:tabs>
              <w:tab w:val="right" w:leader="dot" w:pos="9360"/>
            </w:tabs>
            <w:bidi w:val="0"/>
            <w:spacing w:before="0" w:line="240" w:lineRule="auto"/>
            <w:rPr>
              <w:rStyle w:val="Hipervnculo"/>
            </w:rPr>
          </w:pPr>
          <w:hyperlink w:anchor="_Toc1443864722">
            <w:r w:rsidRPr="53DEF7DD" w:rsidR="53DEF7DD">
              <w:rPr>
                <w:rStyle w:val="Hipervnculo"/>
              </w:rPr>
              <w:t>2.6.1.4. Vacíos o fisuras regulatorias respecto a la sostenibilidad socio-ecológica</w:t>
            </w:r>
            <w:r>
              <w:tab/>
            </w:r>
            <w:r>
              <w:fldChar w:fldCharType="begin"/>
            </w:r>
            <w:r>
              <w:instrText xml:space="preserve">PAGEREF _Toc1443864722 \h</w:instrText>
            </w:r>
            <w:r>
              <w:fldChar w:fldCharType="separate"/>
            </w:r>
            <w:r w:rsidRPr="53DEF7DD" w:rsidR="53DEF7DD">
              <w:rPr>
                <w:rStyle w:val="Hipervnculo"/>
              </w:rPr>
              <w:t>19</w:t>
            </w:r>
            <w:r>
              <w:fldChar w:fldCharType="end"/>
            </w:r>
          </w:hyperlink>
        </w:p>
        <w:p w:rsidR="00527B8C" w:rsidP="53DEF7DD" w:rsidRDefault="00212A57" w14:paraId="2825B39D" w14:textId="322B163D">
          <w:pPr>
            <w:pStyle w:val="TDC4"/>
            <w:tabs>
              <w:tab w:val="right" w:leader="dot" w:pos="9360"/>
            </w:tabs>
            <w:bidi w:val="0"/>
            <w:spacing w:before="0" w:line="240" w:lineRule="auto"/>
            <w:rPr>
              <w:rStyle w:val="Hipervnculo"/>
            </w:rPr>
          </w:pPr>
          <w:hyperlink w:anchor="_Toc1033400900">
            <w:r w:rsidRPr="53DEF7DD" w:rsidR="53DEF7DD">
              <w:rPr>
                <w:rStyle w:val="Hipervnculo"/>
              </w:rPr>
              <w:t>2.6.1.5. Requerimientos de arquitectura institucional para el cumplimiento</w:t>
            </w:r>
            <w:r>
              <w:tab/>
            </w:r>
            <w:r>
              <w:fldChar w:fldCharType="begin"/>
            </w:r>
            <w:r>
              <w:instrText xml:space="preserve">PAGEREF _Toc1033400900 \h</w:instrText>
            </w:r>
            <w:r>
              <w:fldChar w:fldCharType="separate"/>
            </w:r>
            <w:r w:rsidRPr="53DEF7DD" w:rsidR="53DEF7DD">
              <w:rPr>
                <w:rStyle w:val="Hipervnculo"/>
              </w:rPr>
              <w:t>20</w:t>
            </w:r>
            <w:r>
              <w:fldChar w:fldCharType="end"/>
            </w:r>
          </w:hyperlink>
        </w:p>
        <w:p w:rsidR="00527B8C" w:rsidP="53DEF7DD" w:rsidRDefault="00212A57" w14:paraId="6F966125" w14:textId="7D4A9755">
          <w:pPr>
            <w:pStyle w:val="TDC4"/>
            <w:tabs>
              <w:tab w:val="right" w:leader="dot" w:pos="9360"/>
            </w:tabs>
            <w:bidi w:val="0"/>
            <w:spacing w:before="0" w:line="240" w:lineRule="auto"/>
            <w:rPr>
              <w:rStyle w:val="Hipervnculo"/>
            </w:rPr>
          </w:pPr>
          <w:hyperlink w:anchor="_Toc641264151">
            <w:r w:rsidRPr="53DEF7DD" w:rsidR="53DEF7DD">
              <w:rPr>
                <w:rStyle w:val="Hipervnculo"/>
              </w:rPr>
              <w:t>2.6.1.6. Deficiencias actuales para su aplicación en la región amazónica</w:t>
            </w:r>
            <w:r>
              <w:tab/>
            </w:r>
            <w:r>
              <w:fldChar w:fldCharType="begin"/>
            </w:r>
            <w:r>
              <w:instrText xml:space="preserve">PAGEREF _Toc641264151 \h</w:instrText>
            </w:r>
            <w:r>
              <w:fldChar w:fldCharType="separate"/>
            </w:r>
            <w:r w:rsidRPr="53DEF7DD" w:rsidR="53DEF7DD">
              <w:rPr>
                <w:rStyle w:val="Hipervnculo"/>
              </w:rPr>
              <w:t>21</w:t>
            </w:r>
            <w:r>
              <w:fldChar w:fldCharType="end"/>
            </w:r>
          </w:hyperlink>
        </w:p>
        <w:p w:rsidR="00527B8C" w:rsidP="53DEF7DD" w:rsidRDefault="00212A57" w14:paraId="135BDE38" w14:textId="16216E13">
          <w:pPr>
            <w:pStyle w:val="TDC4"/>
            <w:tabs>
              <w:tab w:val="right" w:leader="dot" w:pos="9360"/>
            </w:tabs>
            <w:bidi w:val="0"/>
            <w:spacing w:before="0" w:line="240" w:lineRule="auto"/>
            <w:rPr>
              <w:rStyle w:val="Hipervnculo"/>
            </w:rPr>
          </w:pPr>
          <w:hyperlink w:anchor="_Toc1728106726">
            <w:r w:rsidRPr="53DEF7DD" w:rsidR="53DEF7DD">
              <w:rPr>
                <w:rStyle w:val="Hipervnculo"/>
              </w:rPr>
              <w:t>2.6.1.7. Recomendaciones prácticas para cerrar brechas (en clave de implementación)</w:t>
            </w:r>
            <w:r>
              <w:tab/>
            </w:r>
            <w:r>
              <w:fldChar w:fldCharType="begin"/>
            </w:r>
            <w:r>
              <w:instrText xml:space="preserve">PAGEREF _Toc1728106726 \h</w:instrText>
            </w:r>
            <w:r>
              <w:fldChar w:fldCharType="separate"/>
            </w:r>
            <w:r w:rsidRPr="53DEF7DD" w:rsidR="53DEF7DD">
              <w:rPr>
                <w:rStyle w:val="Hipervnculo"/>
              </w:rPr>
              <w:t>23</w:t>
            </w:r>
            <w:r>
              <w:fldChar w:fldCharType="end"/>
            </w:r>
          </w:hyperlink>
        </w:p>
        <w:p w:rsidR="00527B8C" w:rsidP="53DEF7DD" w:rsidRDefault="00212A57" w14:paraId="6494D303" w14:textId="02D69C6B">
          <w:pPr>
            <w:pStyle w:val="TDC1"/>
            <w:tabs>
              <w:tab w:val="right" w:leader="dot" w:pos="9360"/>
            </w:tabs>
            <w:bidi w:val="0"/>
            <w:spacing w:before="0" w:line="240" w:lineRule="auto"/>
            <w:rPr>
              <w:rStyle w:val="Hipervnculo"/>
            </w:rPr>
          </w:pPr>
          <w:hyperlink w:anchor="_Toc56475400">
            <w:r w:rsidRPr="53DEF7DD" w:rsidR="53DEF7DD">
              <w:rPr>
                <w:rStyle w:val="Hipervnculo"/>
              </w:rPr>
              <w:t>3. Contexto Nacional</w:t>
            </w:r>
            <w:r>
              <w:tab/>
            </w:r>
            <w:r>
              <w:fldChar w:fldCharType="begin"/>
            </w:r>
            <w:r>
              <w:instrText xml:space="preserve">PAGEREF _Toc56475400 \h</w:instrText>
            </w:r>
            <w:r>
              <w:fldChar w:fldCharType="separate"/>
            </w:r>
            <w:r w:rsidRPr="53DEF7DD" w:rsidR="53DEF7DD">
              <w:rPr>
                <w:rStyle w:val="Hipervnculo"/>
              </w:rPr>
              <w:t>24</w:t>
            </w:r>
            <w:r>
              <w:fldChar w:fldCharType="end"/>
            </w:r>
          </w:hyperlink>
        </w:p>
        <w:p w:rsidR="00527B8C" w:rsidP="53DEF7DD" w:rsidRDefault="00212A57" w14:paraId="175A03A0" w14:textId="10ED6F99">
          <w:pPr>
            <w:pStyle w:val="TDC2"/>
            <w:tabs>
              <w:tab w:val="right" w:leader="dot" w:pos="9360"/>
            </w:tabs>
            <w:bidi w:val="0"/>
            <w:spacing w:before="0" w:line="240" w:lineRule="auto"/>
            <w:rPr>
              <w:rStyle w:val="Hipervnculo"/>
            </w:rPr>
          </w:pPr>
          <w:hyperlink w:anchor="_Toc1258663910">
            <w:r w:rsidRPr="53DEF7DD" w:rsidR="53DEF7DD">
              <w:rPr>
                <w:rStyle w:val="Hipervnculo"/>
              </w:rPr>
              <w:t>3.1. Principales Sitios de Extracción en Colombia</w:t>
            </w:r>
            <w:r>
              <w:tab/>
            </w:r>
            <w:r>
              <w:fldChar w:fldCharType="begin"/>
            </w:r>
            <w:r>
              <w:instrText xml:space="preserve">PAGEREF _Toc1258663910 \h</w:instrText>
            </w:r>
            <w:r>
              <w:fldChar w:fldCharType="separate"/>
            </w:r>
            <w:r w:rsidRPr="53DEF7DD" w:rsidR="53DEF7DD">
              <w:rPr>
                <w:rStyle w:val="Hipervnculo"/>
              </w:rPr>
              <w:t>25</w:t>
            </w:r>
            <w:r>
              <w:fldChar w:fldCharType="end"/>
            </w:r>
          </w:hyperlink>
        </w:p>
        <w:p w:rsidR="00527B8C" w:rsidP="53DEF7DD" w:rsidRDefault="00212A57" w14:paraId="01F272FF" w14:textId="404F2542">
          <w:pPr>
            <w:pStyle w:val="TDC2"/>
            <w:tabs>
              <w:tab w:val="right" w:leader="dot" w:pos="9360"/>
            </w:tabs>
            <w:bidi w:val="0"/>
            <w:spacing w:before="0" w:line="240" w:lineRule="auto"/>
            <w:rPr>
              <w:rStyle w:val="Hipervnculo"/>
            </w:rPr>
          </w:pPr>
          <w:hyperlink w:anchor="_Toc187279134">
            <w:r w:rsidRPr="53DEF7DD" w:rsidR="53DEF7DD">
              <w:rPr>
                <w:rStyle w:val="Hipervnculo"/>
              </w:rPr>
              <w:t>3.2. Volúmenes de Extracción por Regiones</w:t>
            </w:r>
            <w:r>
              <w:tab/>
            </w:r>
            <w:r>
              <w:fldChar w:fldCharType="begin"/>
            </w:r>
            <w:r>
              <w:instrText xml:space="preserve">PAGEREF _Toc187279134 \h</w:instrText>
            </w:r>
            <w:r>
              <w:fldChar w:fldCharType="separate"/>
            </w:r>
            <w:r w:rsidRPr="53DEF7DD" w:rsidR="53DEF7DD">
              <w:rPr>
                <w:rStyle w:val="Hipervnculo"/>
              </w:rPr>
              <w:t>26</w:t>
            </w:r>
            <w:r>
              <w:fldChar w:fldCharType="end"/>
            </w:r>
          </w:hyperlink>
        </w:p>
        <w:p w:rsidR="00527B8C" w:rsidP="53DEF7DD" w:rsidRDefault="00212A57" w14:paraId="6A973562" w14:textId="76020B12">
          <w:pPr>
            <w:pStyle w:val="TDC1"/>
            <w:tabs>
              <w:tab w:val="right" w:leader="dot" w:pos="9360"/>
            </w:tabs>
            <w:bidi w:val="0"/>
            <w:spacing w:before="0" w:line="240" w:lineRule="auto"/>
            <w:rPr>
              <w:rStyle w:val="Hipervnculo"/>
            </w:rPr>
          </w:pPr>
          <w:hyperlink w:anchor="_Toc636746039">
            <w:r w:rsidRPr="53DEF7DD" w:rsidR="53DEF7DD">
              <w:rPr>
                <w:rStyle w:val="Hipervnculo"/>
              </w:rPr>
              <w:t>4. Región Amazónica: Panorama actual de la actividad (materiales de construcción) en la Amazonia colombiana</w:t>
            </w:r>
            <w:r>
              <w:tab/>
            </w:r>
            <w:r>
              <w:fldChar w:fldCharType="begin"/>
            </w:r>
            <w:r>
              <w:instrText xml:space="preserve">PAGEREF _Toc636746039 \h</w:instrText>
            </w:r>
            <w:r>
              <w:fldChar w:fldCharType="separate"/>
            </w:r>
            <w:r w:rsidRPr="53DEF7DD" w:rsidR="53DEF7DD">
              <w:rPr>
                <w:rStyle w:val="Hipervnculo"/>
              </w:rPr>
              <w:t>27</w:t>
            </w:r>
            <w:r>
              <w:fldChar w:fldCharType="end"/>
            </w:r>
          </w:hyperlink>
        </w:p>
        <w:p w:rsidR="00527B8C" w:rsidP="53DEF7DD" w:rsidRDefault="00212A57" w14:paraId="69AA58A1" w14:textId="6B7B17A0">
          <w:pPr>
            <w:pStyle w:val="TDC2"/>
            <w:tabs>
              <w:tab w:val="right" w:leader="dot" w:pos="9360"/>
            </w:tabs>
            <w:bidi w:val="0"/>
            <w:spacing w:before="0" w:line="240" w:lineRule="auto"/>
            <w:rPr>
              <w:rStyle w:val="Hipervnculo"/>
            </w:rPr>
          </w:pPr>
          <w:hyperlink w:anchor="_Toc709361891">
            <w:r w:rsidRPr="53DEF7DD" w:rsidR="53DEF7DD">
              <w:rPr>
                <w:rStyle w:val="Hipervnculo"/>
              </w:rPr>
              <w:t>4.1. Títulos y solicitudes mineras en la Amazonia colombiana (con foco en materiales y presión general)</w:t>
            </w:r>
            <w:r>
              <w:tab/>
            </w:r>
            <w:r>
              <w:fldChar w:fldCharType="begin"/>
            </w:r>
            <w:r>
              <w:instrText xml:space="preserve">PAGEREF _Toc709361891 \h</w:instrText>
            </w:r>
            <w:r>
              <w:fldChar w:fldCharType="separate"/>
            </w:r>
            <w:r w:rsidRPr="53DEF7DD" w:rsidR="53DEF7DD">
              <w:rPr>
                <w:rStyle w:val="Hipervnculo"/>
              </w:rPr>
              <w:t>31</w:t>
            </w:r>
            <w:r>
              <w:fldChar w:fldCharType="end"/>
            </w:r>
          </w:hyperlink>
        </w:p>
        <w:p w:rsidR="00527B8C" w:rsidP="53DEF7DD" w:rsidRDefault="00212A57" w14:paraId="1D906FF6" w14:textId="7A86B99F">
          <w:pPr>
            <w:pStyle w:val="TDC2"/>
            <w:tabs>
              <w:tab w:val="right" w:leader="dot" w:pos="9360"/>
            </w:tabs>
            <w:bidi w:val="0"/>
            <w:spacing w:before="0" w:line="240" w:lineRule="auto"/>
            <w:rPr>
              <w:rStyle w:val="Hipervnculo"/>
            </w:rPr>
          </w:pPr>
          <w:hyperlink w:anchor="_Toc1085090848">
            <w:r w:rsidRPr="53DEF7DD" w:rsidR="53DEF7DD">
              <w:rPr>
                <w:rStyle w:val="Hipervnculo"/>
              </w:rPr>
              <w:t>4.2. Marco de acción política para la Amazonia</w:t>
            </w:r>
            <w:r>
              <w:tab/>
            </w:r>
            <w:r>
              <w:fldChar w:fldCharType="begin"/>
            </w:r>
            <w:r>
              <w:instrText xml:space="preserve">PAGEREF _Toc1085090848 \h</w:instrText>
            </w:r>
            <w:r>
              <w:fldChar w:fldCharType="separate"/>
            </w:r>
            <w:r w:rsidRPr="53DEF7DD" w:rsidR="53DEF7DD">
              <w:rPr>
                <w:rStyle w:val="Hipervnculo"/>
              </w:rPr>
              <w:t>31</w:t>
            </w:r>
            <w:r>
              <w:fldChar w:fldCharType="end"/>
            </w:r>
          </w:hyperlink>
        </w:p>
        <w:p w:rsidR="00527B8C" w:rsidP="53DEF7DD" w:rsidRDefault="00212A57" w14:paraId="505F15DD" w14:textId="5D16B4FB">
          <w:pPr>
            <w:pStyle w:val="TDC3"/>
            <w:tabs>
              <w:tab w:val="right" w:leader="dot" w:pos="9360"/>
            </w:tabs>
            <w:bidi w:val="0"/>
            <w:spacing w:before="0" w:line="240" w:lineRule="auto"/>
            <w:rPr>
              <w:rStyle w:val="Hipervnculo"/>
            </w:rPr>
          </w:pPr>
          <w:hyperlink w:anchor="_Toc504560089">
            <w:r w:rsidRPr="53DEF7DD" w:rsidR="53DEF7DD">
              <w:rPr>
                <w:rStyle w:val="Hipervnculo"/>
              </w:rPr>
              <w:t>4.2.1. Declaración de Bogotá (22 de agosto de 2025): Alcance y efectos esperados</w:t>
            </w:r>
            <w:r>
              <w:tab/>
            </w:r>
            <w:r>
              <w:fldChar w:fldCharType="begin"/>
            </w:r>
            <w:r>
              <w:instrText xml:space="preserve">PAGEREF _Toc504560089 \h</w:instrText>
            </w:r>
            <w:r>
              <w:fldChar w:fldCharType="separate"/>
            </w:r>
            <w:r w:rsidRPr="53DEF7DD" w:rsidR="53DEF7DD">
              <w:rPr>
                <w:rStyle w:val="Hipervnculo"/>
              </w:rPr>
              <w:t>31</w:t>
            </w:r>
            <w:r>
              <w:fldChar w:fldCharType="end"/>
            </w:r>
          </w:hyperlink>
        </w:p>
        <w:p w:rsidR="00527B8C" w:rsidP="53DEF7DD" w:rsidRDefault="00212A57" w14:paraId="52320986" w14:textId="2F35318C">
          <w:pPr>
            <w:pStyle w:val="TDC3"/>
            <w:tabs>
              <w:tab w:val="right" w:leader="dot" w:pos="9360"/>
            </w:tabs>
            <w:bidi w:val="0"/>
            <w:spacing w:before="0" w:line="240" w:lineRule="auto"/>
            <w:rPr>
              <w:rStyle w:val="Hipervnculo"/>
            </w:rPr>
          </w:pPr>
          <w:hyperlink w:anchor="_Toc127888863">
            <w:r w:rsidRPr="53DEF7DD" w:rsidR="53DEF7DD">
              <w:rPr>
                <w:rStyle w:val="Hipervnculo"/>
              </w:rPr>
              <w:t>4.2.2. Declaratoria del bioma amazónico como Reserva de Recursos Naturales Renovables (2025)</w:t>
            </w:r>
            <w:r>
              <w:tab/>
            </w:r>
            <w:r>
              <w:fldChar w:fldCharType="begin"/>
            </w:r>
            <w:r>
              <w:instrText xml:space="preserve">PAGEREF _Toc127888863 \h</w:instrText>
            </w:r>
            <w:r>
              <w:fldChar w:fldCharType="separate"/>
            </w:r>
            <w:r w:rsidRPr="53DEF7DD" w:rsidR="53DEF7DD">
              <w:rPr>
                <w:rStyle w:val="Hipervnculo"/>
              </w:rPr>
              <w:t>32</w:t>
            </w:r>
            <w:r>
              <w:fldChar w:fldCharType="end"/>
            </w:r>
          </w:hyperlink>
        </w:p>
        <w:p w:rsidR="00527B8C" w:rsidP="53DEF7DD" w:rsidRDefault="00212A57" w14:paraId="22EF11A7" w14:textId="4A55C953">
          <w:pPr>
            <w:pStyle w:val="TDC3"/>
            <w:tabs>
              <w:tab w:val="right" w:leader="dot" w:pos="9360"/>
            </w:tabs>
            <w:bidi w:val="0"/>
            <w:spacing w:before="0" w:line="240" w:lineRule="auto"/>
            <w:rPr>
              <w:rStyle w:val="Hipervnculo"/>
            </w:rPr>
          </w:pPr>
          <w:hyperlink w:anchor="_Toc1333284432">
            <w:r w:rsidRPr="53DEF7DD" w:rsidR="53DEF7DD">
              <w:rPr>
                <w:rStyle w:val="Hipervnculo"/>
              </w:rPr>
              <w:t>4.2.3. CONPES 4174 de 2025: “Recuperación de la selva amazónica y territorios estratégicos alrededor del agua”</w:t>
            </w:r>
            <w:r>
              <w:tab/>
            </w:r>
            <w:r>
              <w:fldChar w:fldCharType="begin"/>
            </w:r>
            <w:r>
              <w:instrText xml:space="preserve">PAGEREF _Toc1333284432 \h</w:instrText>
            </w:r>
            <w:r>
              <w:fldChar w:fldCharType="separate"/>
            </w:r>
            <w:r w:rsidRPr="53DEF7DD" w:rsidR="53DEF7DD">
              <w:rPr>
                <w:rStyle w:val="Hipervnculo"/>
              </w:rPr>
              <w:t>33</w:t>
            </w:r>
            <w:r>
              <w:fldChar w:fldCharType="end"/>
            </w:r>
          </w:hyperlink>
        </w:p>
        <w:p w:rsidR="00527B8C" w:rsidP="53DEF7DD" w:rsidRDefault="00212A57" w14:paraId="52047DE9" w14:textId="2E37A6B5">
          <w:pPr>
            <w:pStyle w:val="TDC3"/>
            <w:tabs>
              <w:tab w:val="right" w:leader="dot" w:pos="9360"/>
            </w:tabs>
            <w:bidi w:val="0"/>
            <w:spacing w:before="0" w:line="240" w:lineRule="auto"/>
            <w:rPr>
              <w:rStyle w:val="Hipervnculo"/>
            </w:rPr>
          </w:pPr>
          <w:hyperlink w:anchor="_Toc791291080">
            <w:r w:rsidRPr="53DEF7DD" w:rsidR="53DEF7DD">
              <w:rPr>
                <w:rStyle w:val="Hipervnculo"/>
              </w:rPr>
              <w:t>4.2.3. Implicaciones para proyectos de materiales de construcción en la Amazonia</w:t>
            </w:r>
            <w:r>
              <w:tab/>
            </w:r>
            <w:r>
              <w:fldChar w:fldCharType="begin"/>
            </w:r>
            <w:r>
              <w:instrText xml:space="preserve">PAGEREF _Toc791291080 \h</w:instrText>
            </w:r>
            <w:r>
              <w:fldChar w:fldCharType="separate"/>
            </w:r>
            <w:r w:rsidRPr="53DEF7DD" w:rsidR="53DEF7DD">
              <w:rPr>
                <w:rStyle w:val="Hipervnculo"/>
              </w:rPr>
              <w:t>33</w:t>
            </w:r>
            <w:r>
              <w:fldChar w:fldCharType="end"/>
            </w:r>
          </w:hyperlink>
        </w:p>
        <w:p w:rsidR="00527B8C" w:rsidP="53DEF7DD" w:rsidRDefault="00212A57" w14:paraId="3B89411A" w14:textId="70A98D88">
          <w:pPr>
            <w:pStyle w:val="TDC2"/>
            <w:tabs>
              <w:tab w:val="right" w:leader="dot" w:pos="9360"/>
            </w:tabs>
            <w:bidi w:val="0"/>
            <w:spacing w:before="0" w:line="240" w:lineRule="auto"/>
            <w:rPr>
              <w:rStyle w:val="Hipervnculo"/>
            </w:rPr>
          </w:pPr>
          <w:hyperlink w:anchor="_Toc930233946">
            <w:r w:rsidRPr="53DEF7DD" w:rsidR="53DEF7DD">
              <w:rPr>
                <w:rStyle w:val="Hipervnculo"/>
              </w:rPr>
              <w:t>4.3. Impactos y conflictividad socioambiental asociados a materiales de construcción en la región:</w:t>
            </w:r>
            <w:r>
              <w:tab/>
            </w:r>
            <w:r>
              <w:fldChar w:fldCharType="begin"/>
            </w:r>
            <w:r>
              <w:instrText xml:space="preserve">PAGEREF _Toc930233946 \h</w:instrText>
            </w:r>
            <w:r>
              <w:fldChar w:fldCharType="separate"/>
            </w:r>
            <w:r w:rsidRPr="53DEF7DD" w:rsidR="53DEF7DD">
              <w:rPr>
                <w:rStyle w:val="Hipervnculo"/>
              </w:rPr>
              <w:t>34</w:t>
            </w:r>
            <w:r>
              <w:fldChar w:fldCharType="end"/>
            </w:r>
          </w:hyperlink>
        </w:p>
        <w:p w:rsidR="00527B8C" w:rsidP="53DEF7DD" w:rsidRDefault="00212A57" w14:paraId="0D48E8F5" w14:textId="33588DDE">
          <w:pPr>
            <w:pStyle w:val="TDC2"/>
            <w:tabs>
              <w:tab w:val="right" w:leader="dot" w:pos="9360"/>
            </w:tabs>
            <w:bidi w:val="0"/>
            <w:spacing w:before="0" w:line="240" w:lineRule="auto"/>
            <w:rPr>
              <w:rStyle w:val="Hipervnculo"/>
            </w:rPr>
          </w:pPr>
          <w:hyperlink w:anchor="_Toc1237910370">
            <w:r w:rsidRPr="53DEF7DD" w:rsidR="53DEF7DD">
              <w:rPr>
                <w:rStyle w:val="Hipervnculo"/>
              </w:rPr>
              <w:t>4.4. Sitios de Extracción en la Amazonía Colombiana</w:t>
            </w:r>
            <w:r>
              <w:tab/>
            </w:r>
            <w:r>
              <w:fldChar w:fldCharType="begin"/>
            </w:r>
            <w:r>
              <w:instrText xml:space="preserve">PAGEREF _Toc1237910370 \h</w:instrText>
            </w:r>
            <w:r>
              <w:fldChar w:fldCharType="separate"/>
            </w:r>
            <w:r w:rsidRPr="53DEF7DD" w:rsidR="53DEF7DD">
              <w:rPr>
                <w:rStyle w:val="Hipervnculo"/>
              </w:rPr>
              <w:t>35</w:t>
            </w:r>
            <w:r>
              <w:fldChar w:fldCharType="end"/>
            </w:r>
          </w:hyperlink>
        </w:p>
        <w:p w:rsidR="00527B8C" w:rsidP="53DEF7DD" w:rsidRDefault="00212A57" w14:paraId="20A8439D" w14:textId="63B5A182">
          <w:pPr>
            <w:pStyle w:val="TDC3"/>
            <w:tabs>
              <w:tab w:val="right" w:leader="dot" w:pos="9360"/>
            </w:tabs>
            <w:bidi w:val="0"/>
            <w:spacing w:before="0" w:line="240" w:lineRule="auto"/>
            <w:rPr>
              <w:rStyle w:val="Hipervnculo"/>
            </w:rPr>
          </w:pPr>
          <w:hyperlink w:anchor="_Toc1724877021">
            <w:r w:rsidRPr="53DEF7DD" w:rsidR="53DEF7DD">
              <w:rPr>
                <w:rStyle w:val="Hipervnculo"/>
              </w:rPr>
              <w:t>4.4.1. Sitios de Extracción</w:t>
            </w:r>
            <w:r>
              <w:tab/>
            </w:r>
            <w:r>
              <w:fldChar w:fldCharType="begin"/>
            </w:r>
            <w:r>
              <w:instrText xml:space="preserve">PAGEREF _Toc1724877021 \h</w:instrText>
            </w:r>
            <w:r>
              <w:fldChar w:fldCharType="separate"/>
            </w:r>
            <w:r w:rsidRPr="53DEF7DD" w:rsidR="53DEF7DD">
              <w:rPr>
                <w:rStyle w:val="Hipervnculo"/>
              </w:rPr>
              <w:t>37</w:t>
            </w:r>
            <w:r>
              <w:fldChar w:fldCharType="end"/>
            </w:r>
          </w:hyperlink>
        </w:p>
        <w:p w:rsidR="00527B8C" w:rsidP="53DEF7DD" w:rsidRDefault="00212A57" w14:paraId="11FEC83B" w14:textId="5B713FCE">
          <w:pPr>
            <w:pStyle w:val="TDC4"/>
            <w:tabs>
              <w:tab w:val="right" w:leader="dot" w:pos="9360"/>
            </w:tabs>
            <w:bidi w:val="0"/>
            <w:spacing w:before="0" w:line="240" w:lineRule="auto"/>
            <w:rPr>
              <w:rStyle w:val="Hipervnculo"/>
            </w:rPr>
          </w:pPr>
          <w:hyperlink w:anchor="_Toc1239757191">
            <w:r w:rsidRPr="53DEF7DD" w:rsidR="53DEF7DD">
              <w:rPr>
                <w:rStyle w:val="Hipervnculo"/>
              </w:rPr>
              <w:t>4.4.1.1 Departamento de Amazonas</w:t>
            </w:r>
            <w:r>
              <w:tab/>
            </w:r>
            <w:r>
              <w:fldChar w:fldCharType="begin"/>
            </w:r>
            <w:r>
              <w:instrText xml:space="preserve">PAGEREF _Toc1239757191 \h</w:instrText>
            </w:r>
            <w:r>
              <w:fldChar w:fldCharType="separate"/>
            </w:r>
            <w:r w:rsidRPr="53DEF7DD" w:rsidR="53DEF7DD">
              <w:rPr>
                <w:rStyle w:val="Hipervnculo"/>
              </w:rPr>
              <w:t>40</w:t>
            </w:r>
            <w:r>
              <w:fldChar w:fldCharType="end"/>
            </w:r>
          </w:hyperlink>
        </w:p>
        <w:p w:rsidR="00527B8C" w:rsidP="53DEF7DD" w:rsidRDefault="00212A57" w14:paraId="27612FA0" w14:textId="62982C41">
          <w:pPr>
            <w:pStyle w:val="TDC4"/>
            <w:tabs>
              <w:tab w:val="right" w:leader="dot" w:pos="9360"/>
            </w:tabs>
            <w:bidi w:val="0"/>
            <w:spacing w:before="0" w:line="240" w:lineRule="auto"/>
            <w:rPr>
              <w:rStyle w:val="Hipervnculo"/>
            </w:rPr>
          </w:pPr>
          <w:hyperlink w:anchor="_Toc2051802690">
            <w:r w:rsidRPr="53DEF7DD" w:rsidR="53DEF7DD">
              <w:rPr>
                <w:rStyle w:val="Hipervnculo"/>
              </w:rPr>
              <w:t>4.4.1.2 Departamento de Caquetá</w:t>
            </w:r>
            <w:r>
              <w:tab/>
            </w:r>
            <w:r>
              <w:fldChar w:fldCharType="begin"/>
            </w:r>
            <w:r>
              <w:instrText xml:space="preserve">PAGEREF _Toc2051802690 \h</w:instrText>
            </w:r>
            <w:r>
              <w:fldChar w:fldCharType="separate"/>
            </w:r>
            <w:r w:rsidRPr="53DEF7DD" w:rsidR="53DEF7DD">
              <w:rPr>
                <w:rStyle w:val="Hipervnculo"/>
              </w:rPr>
              <w:t>42</w:t>
            </w:r>
            <w:r>
              <w:fldChar w:fldCharType="end"/>
            </w:r>
          </w:hyperlink>
        </w:p>
        <w:p w:rsidR="00527B8C" w:rsidP="53DEF7DD" w:rsidRDefault="00212A57" w14:paraId="6A85ED2F" w14:textId="10ECD2C0">
          <w:pPr>
            <w:pStyle w:val="TDC4"/>
            <w:tabs>
              <w:tab w:val="right" w:leader="dot" w:pos="9360"/>
            </w:tabs>
            <w:bidi w:val="0"/>
            <w:spacing w:before="0" w:line="240" w:lineRule="auto"/>
            <w:rPr>
              <w:rStyle w:val="Hipervnculo"/>
            </w:rPr>
          </w:pPr>
          <w:hyperlink w:anchor="_Toc562030832">
            <w:r w:rsidRPr="53DEF7DD" w:rsidR="53DEF7DD">
              <w:rPr>
                <w:rStyle w:val="Hipervnculo"/>
              </w:rPr>
              <w:t>4.4.1.3 Departamento de Guainía</w:t>
            </w:r>
            <w:r>
              <w:tab/>
            </w:r>
            <w:r>
              <w:fldChar w:fldCharType="begin"/>
            </w:r>
            <w:r>
              <w:instrText xml:space="preserve">PAGEREF _Toc562030832 \h</w:instrText>
            </w:r>
            <w:r>
              <w:fldChar w:fldCharType="separate"/>
            </w:r>
            <w:r w:rsidRPr="53DEF7DD" w:rsidR="53DEF7DD">
              <w:rPr>
                <w:rStyle w:val="Hipervnculo"/>
              </w:rPr>
              <w:t>44</w:t>
            </w:r>
            <w:r>
              <w:fldChar w:fldCharType="end"/>
            </w:r>
          </w:hyperlink>
        </w:p>
        <w:p w:rsidR="00527B8C" w:rsidP="53DEF7DD" w:rsidRDefault="00212A57" w14:paraId="30E15B02" w14:textId="189570D6">
          <w:pPr>
            <w:pStyle w:val="TDC4"/>
            <w:tabs>
              <w:tab w:val="right" w:leader="dot" w:pos="9360"/>
            </w:tabs>
            <w:bidi w:val="0"/>
            <w:spacing w:before="0" w:line="240" w:lineRule="auto"/>
            <w:rPr>
              <w:rStyle w:val="Hipervnculo"/>
            </w:rPr>
          </w:pPr>
          <w:hyperlink w:anchor="_Toc1774337858">
            <w:r w:rsidRPr="53DEF7DD" w:rsidR="53DEF7DD">
              <w:rPr>
                <w:rStyle w:val="Hipervnculo"/>
              </w:rPr>
              <w:t>4.4.1.4 Departamento de Putumayo</w:t>
            </w:r>
            <w:r>
              <w:tab/>
            </w:r>
            <w:r>
              <w:fldChar w:fldCharType="begin"/>
            </w:r>
            <w:r>
              <w:instrText xml:space="preserve">PAGEREF _Toc1774337858 \h</w:instrText>
            </w:r>
            <w:r>
              <w:fldChar w:fldCharType="separate"/>
            </w:r>
            <w:r w:rsidRPr="53DEF7DD" w:rsidR="53DEF7DD">
              <w:rPr>
                <w:rStyle w:val="Hipervnculo"/>
              </w:rPr>
              <w:t>45</w:t>
            </w:r>
            <w:r>
              <w:fldChar w:fldCharType="end"/>
            </w:r>
          </w:hyperlink>
        </w:p>
        <w:p w:rsidR="00527B8C" w:rsidP="53DEF7DD" w:rsidRDefault="00212A57" w14:paraId="14A8F81C" w14:textId="2EB776FA">
          <w:pPr>
            <w:pStyle w:val="TDC3"/>
            <w:tabs>
              <w:tab w:val="right" w:leader="dot" w:pos="9360"/>
            </w:tabs>
            <w:bidi w:val="0"/>
            <w:spacing w:before="0" w:line="240" w:lineRule="auto"/>
            <w:rPr>
              <w:rStyle w:val="Hipervnculo"/>
            </w:rPr>
          </w:pPr>
          <w:hyperlink w:anchor="_Toc239779046">
            <w:r w:rsidRPr="53DEF7DD" w:rsidR="53DEF7DD">
              <w:rPr>
                <w:rStyle w:val="Hipervnculo"/>
              </w:rPr>
              <w:t>4.4.2. Volúmenes de Extracción</w:t>
            </w:r>
            <w:r>
              <w:tab/>
            </w:r>
            <w:r>
              <w:fldChar w:fldCharType="begin"/>
            </w:r>
            <w:r>
              <w:instrText xml:space="preserve">PAGEREF _Toc239779046 \h</w:instrText>
            </w:r>
            <w:r>
              <w:fldChar w:fldCharType="separate"/>
            </w:r>
            <w:r w:rsidRPr="53DEF7DD" w:rsidR="53DEF7DD">
              <w:rPr>
                <w:rStyle w:val="Hipervnculo"/>
              </w:rPr>
              <w:t>47</w:t>
            </w:r>
            <w:r>
              <w:fldChar w:fldCharType="end"/>
            </w:r>
          </w:hyperlink>
        </w:p>
        <w:p w:rsidR="00527B8C" w:rsidP="53DEF7DD" w:rsidRDefault="00212A57" w14:paraId="082C49A3" w14:textId="1FB6EE43">
          <w:pPr>
            <w:pStyle w:val="TDC3"/>
            <w:tabs>
              <w:tab w:val="right" w:leader="dot" w:pos="9360"/>
            </w:tabs>
            <w:bidi w:val="0"/>
            <w:spacing w:before="0" w:line="240" w:lineRule="auto"/>
            <w:rPr>
              <w:rStyle w:val="Hipervnculo"/>
            </w:rPr>
          </w:pPr>
          <w:hyperlink w:anchor="_Toc244216028">
            <w:r w:rsidRPr="53DEF7DD" w:rsidR="53DEF7DD">
              <w:rPr>
                <w:rStyle w:val="Hipervnculo"/>
              </w:rPr>
              <w:t>4.4.3. Técnicas Utilizadas</w:t>
            </w:r>
            <w:r>
              <w:tab/>
            </w:r>
            <w:r>
              <w:fldChar w:fldCharType="begin"/>
            </w:r>
            <w:r>
              <w:instrText xml:space="preserve">PAGEREF _Toc244216028 \h</w:instrText>
            </w:r>
            <w:r>
              <w:fldChar w:fldCharType="separate"/>
            </w:r>
            <w:r w:rsidRPr="53DEF7DD" w:rsidR="53DEF7DD">
              <w:rPr>
                <w:rStyle w:val="Hipervnculo"/>
              </w:rPr>
              <w:t>48</w:t>
            </w:r>
            <w:r>
              <w:fldChar w:fldCharType="end"/>
            </w:r>
          </w:hyperlink>
        </w:p>
        <w:p w:rsidR="00527B8C" w:rsidP="53DEF7DD" w:rsidRDefault="00212A57" w14:paraId="1EF32689" w14:textId="62CC616C">
          <w:pPr>
            <w:pStyle w:val="TDC3"/>
            <w:tabs>
              <w:tab w:val="right" w:leader="dot" w:pos="9360"/>
            </w:tabs>
            <w:bidi w:val="0"/>
            <w:spacing w:before="0" w:line="240" w:lineRule="auto"/>
            <w:rPr>
              <w:rStyle w:val="Hipervnculo"/>
            </w:rPr>
          </w:pPr>
          <w:hyperlink w:anchor="_Toc1511262677">
            <w:r w:rsidRPr="53DEF7DD" w:rsidR="53DEF7DD">
              <w:rPr>
                <w:rStyle w:val="Hipervnculo"/>
              </w:rPr>
              <w:t>4.4.3.1 Clasificación técnica minera.</w:t>
            </w:r>
            <w:r>
              <w:tab/>
            </w:r>
            <w:r>
              <w:fldChar w:fldCharType="begin"/>
            </w:r>
            <w:r>
              <w:instrText xml:space="preserve">PAGEREF _Toc1511262677 \h</w:instrText>
            </w:r>
            <w:r>
              <w:fldChar w:fldCharType="separate"/>
            </w:r>
            <w:r w:rsidRPr="53DEF7DD" w:rsidR="53DEF7DD">
              <w:rPr>
                <w:rStyle w:val="Hipervnculo"/>
              </w:rPr>
              <w:t>48</w:t>
            </w:r>
            <w:r>
              <w:fldChar w:fldCharType="end"/>
            </w:r>
          </w:hyperlink>
        </w:p>
        <w:p w:rsidR="00527B8C" w:rsidP="53DEF7DD" w:rsidRDefault="00212A57" w14:paraId="7A00DDB2" w14:textId="63BFB635">
          <w:pPr>
            <w:pStyle w:val="TDC3"/>
            <w:tabs>
              <w:tab w:val="right" w:leader="dot" w:pos="9360"/>
            </w:tabs>
            <w:bidi w:val="0"/>
            <w:spacing w:before="0" w:line="240" w:lineRule="auto"/>
            <w:rPr>
              <w:rStyle w:val="Hipervnculo"/>
            </w:rPr>
          </w:pPr>
          <w:hyperlink w:anchor="_Toc1639378022">
            <w:r w:rsidRPr="53DEF7DD" w:rsidR="53DEF7DD">
              <w:rPr>
                <w:rStyle w:val="Hipervnculo"/>
              </w:rPr>
              <w:t>4.4.4. Solicitudes de títulos mineros</w:t>
            </w:r>
            <w:r>
              <w:tab/>
            </w:r>
            <w:r>
              <w:fldChar w:fldCharType="begin"/>
            </w:r>
            <w:r>
              <w:instrText xml:space="preserve">PAGEREF _Toc1639378022 \h</w:instrText>
            </w:r>
            <w:r>
              <w:fldChar w:fldCharType="separate"/>
            </w:r>
            <w:r w:rsidRPr="53DEF7DD" w:rsidR="53DEF7DD">
              <w:rPr>
                <w:rStyle w:val="Hipervnculo"/>
              </w:rPr>
              <w:t>51</w:t>
            </w:r>
            <w:r>
              <w:fldChar w:fldCharType="end"/>
            </w:r>
          </w:hyperlink>
        </w:p>
        <w:p w:rsidR="00527B8C" w:rsidP="53DEF7DD" w:rsidRDefault="00212A57" w14:paraId="5328DC03" w14:textId="512796B9">
          <w:pPr>
            <w:pStyle w:val="TDC4"/>
            <w:tabs>
              <w:tab w:val="right" w:leader="dot" w:pos="9360"/>
            </w:tabs>
            <w:bidi w:val="0"/>
            <w:spacing w:before="0" w:line="240" w:lineRule="auto"/>
            <w:rPr>
              <w:rStyle w:val="Hipervnculo"/>
            </w:rPr>
          </w:pPr>
          <w:hyperlink w:anchor="_Toc2126576490">
            <w:r w:rsidRPr="53DEF7DD" w:rsidR="53DEF7DD">
              <w:rPr>
                <w:rStyle w:val="Hipervnculo"/>
              </w:rPr>
              <w:t>4.4.4.1 Títulos mineros en el departamento del Caquetá</w:t>
            </w:r>
            <w:r>
              <w:tab/>
            </w:r>
            <w:r>
              <w:fldChar w:fldCharType="begin"/>
            </w:r>
            <w:r>
              <w:instrText xml:space="preserve">PAGEREF _Toc2126576490 \h</w:instrText>
            </w:r>
            <w:r>
              <w:fldChar w:fldCharType="separate"/>
            </w:r>
            <w:r w:rsidRPr="53DEF7DD" w:rsidR="53DEF7DD">
              <w:rPr>
                <w:rStyle w:val="Hipervnculo"/>
              </w:rPr>
              <w:t>51</w:t>
            </w:r>
            <w:r>
              <w:fldChar w:fldCharType="end"/>
            </w:r>
          </w:hyperlink>
        </w:p>
        <w:p w:rsidR="00527B8C" w:rsidP="53DEF7DD" w:rsidRDefault="00212A57" w14:paraId="36B797FC" w14:textId="657E7914">
          <w:pPr>
            <w:pStyle w:val="TDC4"/>
            <w:tabs>
              <w:tab w:val="right" w:leader="dot" w:pos="9360"/>
            </w:tabs>
            <w:bidi w:val="0"/>
            <w:spacing w:before="0" w:line="240" w:lineRule="auto"/>
            <w:rPr>
              <w:rStyle w:val="Hipervnculo"/>
            </w:rPr>
          </w:pPr>
          <w:hyperlink w:anchor="_Toc734609452">
            <w:r w:rsidRPr="53DEF7DD" w:rsidR="53DEF7DD">
              <w:rPr>
                <w:rStyle w:val="Hipervnculo"/>
              </w:rPr>
              <w:t>4.4.4.2 Títulos mineros en el Departamento de Putumayo</w:t>
            </w:r>
            <w:r>
              <w:tab/>
            </w:r>
            <w:r>
              <w:fldChar w:fldCharType="begin"/>
            </w:r>
            <w:r>
              <w:instrText xml:space="preserve">PAGEREF _Toc734609452 \h</w:instrText>
            </w:r>
            <w:r>
              <w:fldChar w:fldCharType="separate"/>
            </w:r>
            <w:r w:rsidRPr="53DEF7DD" w:rsidR="53DEF7DD">
              <w:rPr>
                <w:rStyle w:val="Hipervnculo"/>
              </w:rPr>
              <w:t>52</w:t>
            </w:r>
            <w:r>
              <w:fldChar w:fldCharType="end"/>
            </w:r>
          </w:hyperlink>
        </w:p>
        <w:p w:rsidR="00527B8C" w:rsidP="53DEF7DD" w:rsidRDefault="00212A57" w14:paraId="6E351272" w14:textId="685C8F5E">
          <w:pPr>
            <w:pStyle w:val="TDC1"/>
            <w:tabs>
              <w:tab w:val="right" w:leader="dot" w:pos="9360"/>
            </w:tabs>
            <w:bidi w:val="0"/>
            <w:spacing w:before="0" w:line="240" w:lineRule="auto"/>
            <w:rPr>
              <w:rStyle w:val="Hipervnculo"/>
            </w:rPr>
          </w:pPr>
          <w:hyperlink w:anchor="_Toc281049523">
            <w:r w:rsidRPr="53DEF7DD" w:rsidR="53DEF7DD">
              <w:rPr>
                <w:rStyle w:val="Hipervnculo"/>
              </w:rPr>
              <w:t>5. Impactos Ambientales</w:t>
            </w:r>
            <w:r>
              <w:tab/>
            </w:r>
            <w:r>
              <w:fldChar w:fldCharType="begin"/>
            </w:r>
            <w:r>
              <w:instrText xml:space="preserve">PAGEREF _Toc281049523 \h</w:instrText>
            </w:r>
            <w:r>
              <w:fldChar w:fldCharType="separate"/>
            </w:r>
            <w:r w:rsidRPr="53DEF7DD" w:rsidR="53DEF7DD">
              <w:rPr>
                <w:rStyle w:val="Hipervnculo"/>
              </w:rPr>
              <w:t>54</w:t>
            </w:r>
            <w:r>
              <w:fldChar w:fldCharType="end"/>
            </w:r>
          </w:hyperlink>
        </w:p>
        <w:p w:rsidR="00527B8C" w:rsidP="53DEF7DD" w:rsidRDefault="00212A57" w14:paraId="2A03FA9C" w14:textId="1B71A946">
          <w:pPr>
            <w:pStyle w:val="TDC1"/>
            <w:tabs>
              <w:tab w:val="right" w:leader="dot" w:pos="9360"/>
            </w:tabs>
            <w:bidi w:val="0"/>
            <w:spacing w:before="0" w:line="240" w:lineRule="auto"/>
            <w:rPr>
              <w:rStyle w:val="Hipervnculo"/>
            </w:rPr>
          </w:pPr>
          <w:hyperlink w:anchor="_Toc642373070">
            <w:r w:rsidRPr="53DEF7DD" w:rsidR="53DEF7DD">
              <w:rPr>
                <w:rStyle w:val="Hipervnculo"/>
              </w:rPr>
              <w:t>5.1. Contexto y Relevancia Ambiental de la Amazonía</w:t>
            </w:r>
            <w:r>
              <w:tab/>
            </w:r>
            <w:r>
              <w:fldChar w:fldCharType="begin"/>
            </w:r>
            <w:r>
              <w:instrText xml:space="preserve">PAGEREF _Toc642373070 \h</w:instrText>
            </w:r>
            <w:r>
              <w:fldChar w:fldCharType="separate"/>
            </w:r>
            <w:r w:rsidRPr="53DEF7DD" w:rsidR="53DEF7DD">
              <w:rPr>
                <w:rStyle w:val="Hipervnculo"/>
              </w:rPr>
              <w:t>54</w:t>
            </w:r>
            <w:r>
              <w:fldChar w:fldCharType="end"/>
            </w:r>
          </w:hyperlink>
        </w:p>
        <w:p w:rsidR="00527B8C" w:rsidP="53DEF7DD" w:rsidRDefault="00212A57" w14:paraId="25A1DD80" w14:textId="5A3E84CA">
          <w:pPr>
            <w:pStyle w:val="TDC3"/>
            <w:tabs>
              <w:tab w:val="right" w:leader="dot" w:pos="9360"/>
            </w:tabs>
            <w:bidi w:val="0"/>
            <w:spacing w:before="0" w:line="240" w:lineRule="auto"/>
            <w:rPr>
              <w:rStyle w:val="Hipervnculo"/>
            </w:rPr>
          </w:pPr>
          <w:hyperlink w:anchor="_Toc1096885844">
            <w:r w:rsidRPr="53DEF7DD" w:rsidR="53DEF7DD">
              <w:rPr>
                <w:rStyle w:val="Hipervnculo"/>
              </w:rPr>
              <w:t>5.1.1. Función de los materiales pétreos y sedimentos en la dinámica fluvial y la ecología de los ríos andino - amazónicos</w:t>
            </w:r>
            <w:r>
              <w:tab/>
            </w:r>
            <w:r>
              <w:fldChar w:fldCharType="begin"/>
            </w:r>
            <w:r>
              <w:instrText xml:space="preserve">PAGEREF _Toc1096885844 \h</w:instrText>
            </w:r>
            <w:r>
              <w:fldChar w:fldCharType="separate"/>
            </w:r>
            <w:r w:rsidRPr="53DEF7DD" w:rsidR="53DEF7DD">
              <w:rPr>
                <w:rStyle w:val="Hipervnculo"/>
              </w:rPr>
              <w:t>55</w:t>
            </w:r>
            <w:r>
              <w:fldChar w:fldCharType="end"/>
            </w:r>
          </w:hyperlink>
        </w:p>
        <w:p w:rsidR="00527B8C" w:rsidP="53DEF7DD" w:rsidRDefault="00212A57" w14:paraId="50A4538F" w14:textId="1AAA993D">
          <w:pPr>
            <w:pStyle w:val="TDC3"/>
            <w:tabs>
              <w:tab w:val="right" w:leader="dot" w:pos="9360"/>
            </w:tabs>
            <w:bidi w:val="0"/>
            <w:spacing w:before="0" w:line="240" w:lineRule="auto"/>
            <w:rPr>
              <w:rStyle w:val="Hipervnculo"/>
            </w:rPr>
          </w:pPr>
          <w:hyperlink w:anchor="_Toc1820748841">
            <w:r w:rsidRPr="53DEF7DD" w:rsidR="53DEF7DD">
              <w:rPr>
                <w:rStyle w:val="Hipervnculo"/>
              </w:rPr>
              <w:t>5.1.1.1. Composición del Lecho Fluvial</w:t>
            </w:r>
            <w:r>
              <w:tab/>
            </w:r>
            <w:r>
              <w:fldChar w:fldCharType="begin"/>
            </w:r>
            <w:r>
              <w:instrText xml:space="preserve">PAGEREF _Toc1820748841 \h</w:instrText>
            </w:r>
            <w:r>
              <w:fldChar w:fldCharType="separate"/>
            </w:r>
            <w:r w:rsidRPr="53DEF7DD" w:rsidR="53DEF7DD">
              <w:rPr>
                <w:rStyle w:val="Hipervnculo"/>
              </w:rPr>
              <w:t>55</w:t>
            </w:r>
            <w:r>
              <w:fldChar w:fldCharType="end"/>
            </w:r>
          </w:hyperlink>
        </w:p>
        <w:p w:rsidR="00527B8C" w:rsidP="53DEF7DD" w:rsidRDefault="00212A57" w14:paraId="0AD1E263" w14:textId="58243F66">
          <w:pPr>
            <w:pStyle w:val="TDC4"/>
            <w:tabs>
              <w:tab w:val="right" w:leader="dot" w:pos="9360"/>
            </w:tabs>
            <w:bidi w:val="0"/>
            <w:spacing w:before="0" w:line="240" w:lineRule="auto"/>
            <w:rPr>
              <w:rStyle w:val="Hipervnculo"/>
            </w:rPr>
          </w:pPr>
          <w:hyperlink w:anchor="_Toc79405819">
            <w:r w:rsidRPr="53DEF7DD" w:rsidR="53DEF7DD">
              <w:rPr>
                <w:rStyle w:val="Hipervnculo"/>
              </w:rPr>
              <w:t>5.1.1.2. Control de la Fuerza Mecánica del Agua</w:t>
            </w:r>
            <w:r>
              <w:tab/>
            </w:r>
            <w:r>
              <w:fldChar w:fldCharType="begin"/>
            </w:r>
            <w:r>
              <w:instrText xml:space="preserve">PAGEREF _Toc79405819 \h</w:instrText>
            </w:r>
            <w:r>
              <w:fldChar w:fldCharType="separate"/>
            </w:r>
            <w:r w:rsidRPr="53DEF7DD" w:rsidR="53DEF7DD">
              <w:rPr>
                <w:rStyle w:val="Hipervnculo"/>
              </w:rPr>
              <w:t>56</w:t>
            </w:r>
            <w:r>
              <w:fldChar w:fldCharType="end"/>
            </w:r>
          </w:hyperlink>
        </w:p>
        <w:p w:rsidR="00527B8C" w:rsidP="53DEF7DD" w:rsidRDefault="00212A57" w14:paraId="14DC3412" w14:textId="64F4C4D1">
          <w:pPr>
            <w:pStyle w:val="TDC4"/>
            <w:tabs>
              <w:tab w:val="right" w:leader="dot" w:pos="9360"/>
            </w:tabs>
            <w:bidi w:val="0"/>
            <w:spacing w:before="0" w:line="240" w:lineRule="auto"/>
            <w:rPr>
              <w:rStyle w:val="Hipervnculo"/>
            </w:rPr>
          </w:pPr>
          <w:hyperlink w:anchor="_Toc1753111298">
            <w:r w:rsidRPr="53DEF7DD" w:rsidR="53DEF7DD">
              <w:rPr>
                <w:rStyle w:val="Hipervnculo"/>
              </w:rPr>
              <w:t>5.1.1.3. Estabilización del Lecho, Orillas y Caudal</w:t>
            </w:r>
            <w:r>
              <w:tab/>
            </w:r>
            <w:r>
              <w:fldChar w:fldCharType="begin"/>
            </w:r>
            <w:r>
              <w:instrText xml:space="preserve">PAGEREF _Toc1753111298 \h</w:instrText>
            </w:r>
            <w:r>
              <w:fldChar w:fldCharType="separate"/>
            </w:r>
            <w:r w:rsidRPr="53DEF7DD" w:rsidR="53DEF7DD">
              <w:rPr>
                <w:rStyle w:val="Hipervnculo"/>
              </w:rPr>
              <w:t>56</w:t>
            </w:r>
            <w:r>
              <w:fldChar w:fldCharType="end"/>
            </w:r>
          </w:hyperlink>
        </w:p>
        <w:p w:rsidR="00527B8C" w:rsidP="53DEF7DD" w:rsidRDefault="00212A57" w14:paraId="5FDAECB2" w14:textId="44F4FC6A">
          <w:pPr>
            <w:pStyle w:val="TDC4"/>
            <w:tabs>
              <w:tab w:val="right" w:leader="dot" w:pos="9360"/>
            </w:tabs>
            <w:bidi w:val="0"/>
            <w:spacing w:before="0" w:line="240" w:lineRule="auto"/>
            <w:rPr>
              <w:rStyle w:val="Hipervnculo"/>
            </w:rPr>
          </w:pPr>
          <w:hyperlink w:anchor="_Toc2000416272">
            <w:r w:rsidRPr="53DEF7DD" w:rsidR="53DEF7DD">
              <w:rPr>
                <w:rStyle w:val="Hipervnculo"/>
              </w:rPr>
              <w:t>5.1.1.4. Relación Ecológica y Servicios Ecosistémicos</w:t>
            </w:r>
            <w:r>
              <w:tab/>
            </w:r>
            <w:r>
              <w:fldChar w:fldCharType="begin"/>
            </w:r>
            <w:r>
              <w:instrText xml:space="preserve">PAGEREF _Toc2000416272 \h</w:instrText>
            </w:r>
            <w:r>
              <w:fldChar w:fldCharType="separate"/>
            </w:r>
            <w:r w:rsidRPr="53DEF7DD" w:rsidR="53DEF7DD">
              <w:rPr>
                <w:rStyle w:val="Hipervnculo"/>
              </w:rPr>
              <w:t>56</w:t>
            </w:r>
            <w:r>
              <w:fldChar w:fldCharType="end"/>
            </w:r>
          </w:hyperlink>
        </w:p>
        <w:p w:rsidR="00527B8C" w:rsidP="53DEF7DD" w:rsidRDefault="00212A57" w14:paraId="1CD22829" w14:textId="1EF8F11B">
          <w:pPr>
            <w:pStyle w:val="TDC4"/>
            <w:tabs>
              <w:tab w:val="right" w:leader="dot" w:pos="9360"/>
            </w:tabs>
            <w:bidi w:val="0"/>
            <w:spacing w:before="0" w:line="240" w:lineRule="auto"/>
            <w:rPr>
              <w:rStyle w:val="Hipervnculo"/>
            </w:rPr>
          </w:pPr>
          <w:hyperlink w:anchor="_Toc458289630">
            <w:r w:rsidRPr="53DEF7DD" w:rsidR="53DEF7DD">
              <w:rPr>
                <w:rStyle w:val="Hipervnculo"/>
              </w:rPr>
              <w:t>5.1.1.5. Ciclo de nutrientes</w:t>
            </w:r>
            <w:r>
              <w:tab/>
            </w:r>
            <w:r>
              <w:fldChar w:fldCharType="begin"/>
            </w:r>
            <w:r>
              <w:instrText xml:space="preserve">PAGEREF _Toc458289630 \h</w:instrText>
            </w:r>
            <w:r>
              <w:fldChar w:fldCharType="separate"/>
            </w:r>
            <w:r w:rsidRPr="53DEF7DD" w:rsidR="53DEF7DD">
              <w:rPr>
                <w:rStyle w:val="Hipervnculo"/>
              </w:rPr>
              <w:t>58</w:t>
            </w:r>
            <w:r>
              <w:fldChar w:fldCharType="end"/>
            </w:r>
          </w:hyperlink>
        </w:p>
        <w:p w:rsidR="00527B8C" w:rsidP="53DEF7DD" w:rsidRDefault="00212A57" w14:paraId="14FF3A33" w14:textId="3DC20CE6">
          <w:pPr>
            <w:pStyle w:val="TDC4"/>
            <w:tabs>
              <w:tab w:val="right" w:leader="dot" w:pos="9360"/>
            </w:tabs>
            <w:bidi w:val="0"/>
            <w:spacing w:before="0" w:line="240" w:lineRule="auto"/>
            <w:rPr>
              <w:rStyle w:val="Hipervnculo"/>
            </w:rPr>
          </w:pPr>
          <w:hyperlink w:anchor="_Toc1340913000">
            <w:r w:rsidRPr="53DEF7DD" w:rsidR="53DEF7DD">
              <w:rPr>
                <w:rStyle w:val="Hipervnculo"/>
              </w:rPr>
              <w:t>5.1.1.6. Conectividad fluvial</w:t>
            </w:r>
            <w:r>
              <w:tab/>
            </w:r>
            <w:r>
              <w:fldChar w:fldCharType="begin"/>
            </w:r>
            <w:r>
              <w:instrText xml:space="preserve">PAGEREF _Toc1340913000 \h</w:instrText>
            </w:r>
            <w:r>
              <w:fldChar w:fldCharType="separate"/>
            </w:r>
            <w:r w:rsidRPr="53DEF7DD" w:rsidR="53DEF7DD">
              <w:rPr>
                <w:rStyle w:val="Hipervnculo"/>
              </w:rPr>
              <w:t>59</w:t>
            </w:r>
            <w:r>
              <w:fldChar w:fldCharType="end"/>
            </w:r>
          </w:hyperlink>
        </w:p>
        <w:p w:rsidR="00527B8C" w:rsidP="53DEF7DD" w:rsidRDefault="00212A57" w14:paraId="77C3DDCA" w14:textId="3C8E276E">
          <w:pPr>
            <w:pStyle w:val="TDC1"/>
            <w:tabs>
              <w:tab w:val="right" w:leader="dot" w:pos="9360"/>
            </w:tabs>
            <w:bidi w:val="0"/>
            <w:spacing w:before="0" w:line="240" w:lineRule="auto"/>
            <w:rPr>
              <w:rStyle w:val="Hipervnculo"/>
            </w:rPr>
          </w:pPr>
          <w:hyperlink w:anchor="_Toc1780241437">
            <w:r w:rsidRPr="53DEF7DD" w:rsidR="53DEF7DD">
              <w:rPr>
                <w:rStyle w:val="Hipervnculo"/>
              </w:rPr>
              <w:t>5.2. Marco Normativo Ambiental Aplicable a la Minería de Materiales de Construcción (MMC) en la Amazonía Colombiana</w:t>
            </w:r>
            <w:r>
              <w:tab/>
            </w:r>
            <w:r>
              <w:fldChar w:fldCharType="begin"/>
            </w:r>
            <w:r>
              <w:instrText xml:space="preserve">PAGEREF _Toc1780241437 \h</w:instrText>
            </w:r>
            <w:r>
              <w:fldChar w:fldCharType="separate"/>
            </w:r>
            <w:r w:rsidRPr="53DEF7DD" w:rsidR="53DEF7DD">
              <w:rPr>
                <w:rStyle w:val="Hipervnculo"/>
              </w:rPr>
              <w:t>60</w:t>
            </w:r>
            <w:r>
              <w:fldChar w:fldCharType="end"/>
            </w:r>
          </w:hyperlink>
        </w:p>
        <w:p w:rsidR="00527B8C" w:rsidP="53DEF7DD" w:rsidRDefault="00212A57" w14:paraId="4F69E818" w14:textId="3857CD56">
          <w:pPr>
            <w:pStyle w:val="TDC1"/>
            <w:tabs>
              <w:tab w:val="right" w:leader="dot" w:pos="9360"/>
            </w:tabs>
            <w:bidi w:val="0"/>
            <w:spacing w:before="0" w:line="240" w:lineRule="auto"/>
            <w:rPr>
              <w:rStyle w:val="Hipervnculo"/>
            </w:rPr>
          </w:pPr>
          <w:hyperlink w:anchor="_Toc1017321264">
            <w:r w:rsidRPr="53DEF7DD" w:rsidR="53DEF7DD">
              <w:rPr>
                <w:rStyle w:val="Hipervnculo"/>
              </w:rPr>
              <w:t>5.3. Problemática e Impactos Socioambientales de la MMC</w:t>
            </w:r>
            <w:r>
              <w:tab/>
            </w:r>
            <w:r>
              <w:fldChar w:fldCharType="begin"/>
            </w:r>
            <w:r>
              <w:instrText xml:space="preserve">PAGEREF _Toc1017321264 \h</w:instrText>
            </w:r>
            <w:r>
              <w:fldChar w:fldCharType="separate"/>
            </w:r>
            <w:r w:rsidRPr="53DEF7DD" w:rsidR="53DEF7DD">
              <w:rPr>
                <w:rStyle w:val="Hipervnculo"/>
              </w:rPr>
              <w:t>61</w:t>
            </w:r>
            <w:r>
              <w:fldChar w:fldCharType="end"/>
            </w:r>
          </w:hyperlink>
        </w:p>
        <w:p w:rsidR="00527B8C" w:rsidP="53DEF7DD" w:rsidRDefault="00212A57" w14:paraId="56E360C2" w14:textId="4C40ABC0">
          <w:pPr>
            <w:pStyle w:val="TDC3"/>
            <w:tabs>
              <w:tab w:val="right" w:leader="dot" w:pos="9360"/>
            </w:tabs>
            <w:bidi w:val="0"/>
            <w:spacing w:before="0" w:line="240" w:lineRule="auto"/>
            <w:rPr>
              <w:rStyle w:val="Hipervnculo"/>
            </w:rPr>
          </w:pPr>
          <w:hyperlink w:anchor="_Toc2016810707">
            <w:r w:rsidRPr="53DEF7DD" w:rsidR="53DEF7DD">
              <w:rPr>
                <w:rStyle w:val="Hipervnculo"/>
              </w:rPr>
              <w:t>5.3.1. Impactos ecológicos y geomorfológicos</w:t>
            </w:r>
            <w:r>
              <w:tab/>
            </w:r>
            <w:r>
              <w:fldChar w:fldCharType="begin"/>
            </w:r>
            <w:r>
              <w:instrText xml:space="preserve">PAGEREF _Toc2016810707 \h</w:instrText>
            </w:r>
            <w:r>
              <w:fldChar w:fldCharType="separate"/>
            </w:r>
            <w:r w:rsidRPr="53DEF7DD" w:rsidR="53DEF7DD">
              <w:rPr>
                <w:rStyle w:val="Hipervnculo"/>
              </w:rPr>
              <w:t>67</w:t>
            </w:r>
            <w:r>
              <w:fldChar w:fldCharType="end"/>
            </w:r>
          </w:hyperlink>
        </w:p>
        <w:p w:rsidR="00527B8C" w:rsidP="53DEF7DD" w:rsidRDefault="00212A57" w14:paraId="63ADAA4F" w14:textId="41966A9F">
          <w:pPr>
            <w:pStyle w:val="TDC3"/>
            <w:tabs>
              <w:tab w:val="right" w:leader="dot" w:pos="9360"/>
            </w:tabs>
            <w:bidi w:val="0"/>
            <w:spacing w:before="0" w:line="240" w:lineRule="auto"/>
            <w:rPr>
              <w:rStyle w:val="Hipervnculo"/>
            </w:rPr>
          </w:pPr>
          <w:hyperlink w:anchor="_Toc584200754">
            <w:r w:rsidRPr="53DEF7DD" w:rsidR="53DEF7DD">
              <w:rPr>
                <w:rStyle w:val="Hipervnculo"/>
              </w:rPr>
              <w:t>5.3.2. Impactos Socioambientales</w:t>
            </w:r>
            <w:r>
              <w:tab/>
            </w:r>
            <w:r>
              <w:fldChar w:fldCharType="begin"/>
            </w:r>
            <w:r>
              <w:instrText xml:space="preserve">PAGEREF _Toc584200754 \h</w:instrText>
            </w:r>
            <w:r>
              <w:fldChar w:fldCharType="separate"/>
            </w:r>
            <w:r w:rsidRPr="53DEF7DD" w:rsidR="53DEF7DD">
              <w:rPr>
                <w:rStyle w:val="Hipervnculo"/>
              </w:rPr>
              <w:t>68</w:t>
            </w:r>
            <w:r>
              <w:fldChar w:fldCharType="end"/>
            </w:r>
          </w:hyperlink>
        </w:p>
        <w:p w:rsidR="00527B8C" w:rsidP="53DEF7DD" w:rsidRDefault="00212A57" w14:paraId="41ED8081" w14:textId="74002E2E">
          <w:pPr>
            <w:pStyle w:val="TDC4"/>
            <w:tabs>
              <w:tab w:val="right" w:leader="dot" w:pos="9360"/>
            </w:tabs>
            <w:bidi w:val="0"/>
            <w:spacing w:before="0" w:line="240" w:lineRule="auto"/>
            <w:rPr>
              <w:rStyle w:val="Hipervnculo"/>
            </w:rPr>
          </w:pPr>
          <w:hyperlink w:anchor="_Toc1803366976">
            <w:r w:rsidRPr="53DEF7DD" w:rsidR="53DEF7DD">
              <w:rPr>
                <w:rStyle w:val="Hipervnculo"/>
              </w:rPr>
              <w:t>5.3.2.1. Estudios de caso:</w:t>
            </w:r>
            <w:r>
              <w:tab/>
            </w:r>
            <w:r>
              <w:fldChar w:fldCharType="begin"/>
            </w:r>
            <w:r>
              <w:instrText xml:space="preserve">PAGEREF _Toc1803366976 \h</w:instrText>
            </w:r>
            <w:r>
              <w:fldChar w:fldCharType="separate"/>
            </w:r>
            <w:r w:rsidRPr="53DEF7DD" w:rsidR="53DEF7DD">
              <w:rPr>
                <w:rStyle w:val="Hipervnculo"/>
              </w:rPr>
              <w:t>69</w:t>
            </w:r>
            <w:r>
              <w:fldChar w:fldCharType="end"/>
            </w:r>
          </w:hyperlink>
        </w:p>
        <w:p w:rsidR="00527B8C" w:rsidP="53DEF7DD" w:rsidRDefault="00212A57" w14:paraId="7587AB9E" w14:textId="0291E744">
          <w:pPr>
            <w:pStyle w:val="TDC4"/>
            <w:tabs>
              <w:tab w:val="right" w:leader="dot" w:pos="9360"/>
            </w:tabs>
            <w:bidi w:val="0"/>
            <w:spacing w:before="0" w:line="240" w:lineRule="auto"/>
            <w:rPr>
              <w:rStyle w:val="Hipervnculo"/>
            </w:rPr>
          </w:pPr>
          <w:hyperlink w:anchor="_Toc1553228220">
            <w:r w:rsidRPr="53DEF7DD" w:rsidR="53DEF7DD">
              <w:rPr>
                <w:rStyle w:val="Hipervnculo"/>
              </w:rPr>
              <w:t>5.3.2.2. La Movilización Social a favor del Río Hacha en Caquetá:</w:t>
            </w:r>
            <w:r>
              <w:tab/>
            </w:r>
            <w:r>
              <w:fldChar w:fldCharType="begin"/>
            </w:r>
            <w:r>
              <w:instrText xml:space="preserve">PAGEREF _Toc1553228220 \h</w:instrText>
            </w:r>
            <w:r>
              <w:fldChar w:fldCharType="separate"/>
            </w:r>
            <w:r w:rsidRPr="53DEF7DD" w:rsidR="53DEF7DD">
              <w:rPr>
                <w:rStyle w:val="Hipervnculo"/>
              </w:rPr>
              <w:t>77</w:t>
            </w:r>
            <w:r>
              <w:fldChar w:fldCharType="end"/>
            </w:r>
          </w:hyperlink>
        </w:p>
        <w:p w:rsidR="00527B8C" w:rsidP="53DEF7DD" w:rsidRDefault="00212A57" w14:paraId="3C0E5B05" w14:textId="05D526FD">
          <w:pPr>
            <w:pStyle w:val="TDC3"/>
            <w:tabs>
              <w:tab w:val="right" w:leader="dot" w:pos="9360"/>
            </w:tabs>
            <w:bidi w:val="0"/>
            <w:spacing w:before="0" w:line="240" w:lineRule="auto"/>
            <w:rPr>
              <w:rStyle w:val="Hipervnculo"/>
            </w:rPr>
          </w:pPr>
          <w:hyperlink w:anchor="_Toc1483334326">
            <w:r w:rsidRPr="53DEF7DD" w:rsidR="53DEF7DD">
              <w:rPr>
                <w:rStyle w:val="Hipervnculo"/>
              </w:rPr>
              <w:t>5.3.2. Impactos sociales:</w:t>
            </w:r>
            <w:r>
              <w:tab/>
            </w:r>
            <w:r>
              <w:fldChar w:fldCharType="begin"/>
            </w:r>
            <w:r>
              <w:instrText xml:space="preserve">PAGEREF _Toc1483334326 \h</w:instrText>
            </w:r>
            <w:r>
              <w:fldChar w:fldCharType="separate"/>
            </w:r>
            <w:r w:rsidRPr="53DEF7DD" w:rsidR="53DEF7DD">
              <w:rPr>
                <w:rStyle w:val="Hipervnculo"/>
              </w:rPr>
              <w:t>82</w:t>
            </w:r>
            <w:r>
              <w:fldChar w:fldCharType="end"/>
            </w:r>
          </w:hyperlink>
        </w:p>
        <w:p w:rsidR="00527B8C" w:rsidP="53DEF7DD" w:rsidRDefault="00212A57" w14:paraId="65B15EAF" w14:textId="6B9F9461">
          <w:pPr>
            <w:pStyle w:val="TDC2"/>
            <w:tabs>
              <w:tab w:val="right" w:leader="dot" w:pos="9360"/>
            </w:tabs>
            <w:bidi w:val="0"/>
            <w:spacing w:before="0" w:line="240" w:lineRule="auto"/>
            <w:rPr>
              <w:rStyle w:val="Hipervnculo"/>
            </w:rPr>
          </w:pPr>
          <w:hyperlink w:anchor="_Toc545106403">
            <w:r w:rsidRPr="53DEF7DD" w:rsidR="53DEF7DD">
              <w:rPr>
                <w:rStyle w:val="Hipervnculo"/>
              </w:rPr>
              <w:t>5.3.3. Impactos en la salud por la explotación de minerales de arrastre</w:t>
            </w:r>
            <w:r>
              <w:tab/>
            </w:r>
            <w:r>
              <w:fldChar w:fldCharType="begin"/>
            </w:r>
            <w:r>
              <w:instrText xml:space="preserve">PAGEREF _Toc545106403 \h</w:instrText>
            </w:r>
            <w:r>
              <w:fldChar w:fldCharType="separate"/>
            </w:r>
            <w:r w:rsidRPr="53DEF7DD" w:rsidR="53DEF7DD">
              <w:rPr>
                <w:rStyle w:val="Hipervnculo"/>
              </w:rPr>
              <w:t>83</w:t>
            </w:r>
            <w:r>
              <w:fldChar w:fldCharType="end"/>
            </w:r>
          </w:hyperlink>
        </w:p>
        <w:p w:rsidR="00527B8C" w:rsidP="53DEF7DD" w:rsidRDefault="00212A57" w14:paraId="29D20107" w14:textId="65126ABA">
          <w:pPr>
            <w:pStyle w:val="TDC4"/>
            <w:tabs>
              <w:tab w:val="right" w:leader="dot" w:pos="9360"/>
            </w:tabs>
            <w:bidi w:val="0"/>
            <w:spacing w:before="0" w:line="240" w:lineRule="auto"/>
            <w:rPr>
              <w:rStyle w:val="Hipervnculo"/>
            </w:rPr>
          </w:pPr>
          <w:hyperlink w:anchor="_Toc905268448">
            <w:r w:rsidRPr="53DEF7DD" w:rsidR="53DEF7DD">
              <w:rPr>
                <w:rStyle w:val="Hipervnculo"/>
              </w:rPr>
              <w:t>5.3.3.1. Impactos sobre la seguridad alimentaria</w:t>
            </w:r>
            <w:r>
              <w:tab/>
            </w:r>
            <w:r>
              <w:fldChar w:fldCharType="begin"/>
            </w:r>
            <w:r>
              <w:instrText xml:space="preserve">PAGEREF _Toc905268448 \h</w:instrText>
            </w:r>
            <w:r>
              <w:fldChar w:fldCharType="separate"/>
            </w:r>
            <w:r w:rsidRPr="53DEF7DD" w:rsidR="53DEF7DD">
              <w:rPr>
                <w:rStyle w:val="Hipervnculo"/>
              </w:rPr>
              <w:t>84</w:t>
            </w:r>
            <w:r>
              <w:fldChar w:fldCharType="end"/>
            </w:r>
          </w:hyperlink>
        </w:p>
        <w:p w:rsidR="00527B8C" w:rsidP="53DEF7DD" w:rsidRDefault="00212A57" w14:paraId="41E17A2E" w14:textId="5D14718A">
          <w:pPr>
            <w:pStyle w:val="TDC4"/>
            <w:tabs>
              <w:tab w:val="right" w:leader="dot" w:pos="9360"/>
            </w:tabs>
            <w:bidi w:val="0"/>
            <w:spacing w:before="0" w:line="240" w:lineRule="auto"/>
            <w:rPr>
              <w:rStyle w:val="Hipervnculo"/>
            </w:rPr>
          </w:pPr>
          <w:hyperlink w:anchor="_Toc1738072622">
            <w:r w:rsidRPr="53DEF7DD" w:rsidR="53DEF7DD">
              <w:rPr>
                <w:rStyle w:val="Hipervnculo"/>
              </w:rPr>
              <w:t>5.3.3.2. Deterioro de la calidad del agua</w:t>
            </w:r>
            <w:r>
              <w:tab/>
            </w:r>
            <w:r>
              <w:fldChar w:fldCharType="begin"/>
            </w:r>
            <w:r>
              <w:instrText xml:space="preserve">PAGEREF _Toc1738072622 \h</w:instrText>
            </w:r>
            <w:r>
              <w:fldChar w:fldCharType="separate"/>
            </w:r>
            <w:r w:rsidRPr="53DEF7DD" w:rsidR="53DEF7DD">
              <w:rPr>
                <w:rStyle w:val="Hipervnculo"/>
              </w:rPr>
              <w:t>84</w:t>
            </w:r>
            <w:r>
              <w:fldChar w:fldCharType="end"/>
            </w:r>
          </w:hyperlink>
        </w:p>
        <w:p w:rsidR="00527B8C" w:rsidP="53DEF7DD" w:rsidRDefault="00212A57" w14:paraId="4464DB34" w14:textId="3270EB9D">
          <w:pPr>
            <w:pStyle w:val="TDC4"/>
            <w:tabs>
              <w:tab w:val="right" w:leader="dot" w:pos="9360"/>
            </w:tabs>
            <w:bidi w:val="0"/>
            <w:spacing w:before="0" w:line="240" w:lineRule="auto"/>
            <w:rPr>
              <w:rStyle w:val="Hipervnculo"/>
            </w:rPr>
          </w:pPr>
          <w:hyperlink w:anchor="_Toc1251165916">
            <w:r w:rsidRPr="53DEF7DD" w:rsidR="53DEF7DD">
              <w:rPr>
                <w:rStyle w:val="Hipervnculo"/>
              </w:rPr>
              <w:t>5.3.3.3. Consecuencias de la degradación de los ecosistemas asociada a la minería de arrastre en la Amazonía</w:t>
            </w:r>
            <w:r>
              <w:tab/>
            </w:r>
            <w:r>
              <w:fldChar w:fldCharType="begin"/>
            </w:r>
            <w:r>
              <w:instrText xml:space="preserve">PAGEREF _Toc1251165916 \h</w:instrText>
            </w:r>
            <w:r>
              <w:fldChar w:fldCharType="separate"/>
            </w:r>
            <w:r w:rsidRPr="53DEF7DD" w:rsidR="53DEF7DD">
              <w:rPr>
                <w:rStyle w:val="Hipervnculo"/>
              </w:rPr>
              <w:t>85</w:t>
            </w:r>
            <w:r>
              <w:fldChar w:fldCharType="end"/>
            </w:r>
          </w:hyperlink>
        </w:p>
        <w:p w:rsidR="00527B8C" w:rsidP="53DEF7DD" w:rsidRDefault="00212A57" w14:paraId="4186AB1E" w14:textId="5D2A67CF">
          <w:pPr>
            <w:pStyle w:val="TDC4"/>
            <w:tabs>
              <w:tab w:val="right" w:leader="dot" w:pos="9360"/>
            </w:tabs>
            <w:bidi w:val="0"/>
            <w:spacing w:before="0" w:line="240" w:lineRule="auto"/>
            <w:rPr>
              <w:rStyle w:val="Hipervnculo"/>
            </w:rPr>
          </w:pPr>
          <w:hyperlink w:anchor="_Toc19792178">
            <w:r w:rsidRPr="53DEF7DD" w:rsidR="53DEF7DD">
              <w:rPr>
                <w:rStyle w:val="Hipervnculo"/>
              </w:rPr>
              <w:t>5.3.3.4. Afectaciones a las comunidades indígenas y a su bienestar integral</w:t>
            </w:r>
            <w:r>
              <w:tab/>
            </w:r>
            <w:r>
              <w:fldChar w:fldCharType="begin"/>
            </w:r>
            <w:r>
              <w:instrText xml:space="preserve">PAGEREF _Toc19792178 \h</w:instrText>
            </w:r>
            <w:r>
              <w:fldChar w:fldCharType="separate"/>
            </w:r>
            <w:r w:rsidRPr="53DEF7DD" w:rsidR="53DEF7DD">
              <w:rPr>
                <w:rStyle w:val="Hipervnculo"/>
              </w:rPr>
              <w:t>86</w:t>
            </w:r>
            <w:r>
              <w:fldChar w:fldCharType="end"/>
            </w:r>
          </w:hyperlink>
        </w:p>
        <w:p w:rsidR="00527B8C" w:rsidP="53DEF7DD" w:rsidRDefault="00212A57" w14:paraId="5398F3F3" w14:textId="3BA5DF9F">
          <w:pPr>
            <w:pStyle w:val="TDC4"/>
            <w:tabs>
              <w:tab w:val="right" w:leader="dot" w:pos="9360"/>
            </w:tabs>
            <w:bidi w:val="0"/>
            <w:spacing w:before="0" w:line="240" w:lineRule="auto"/>
            <w:rPr>
              <w:rStyle w:val="Hipervnculo"/>
            </w:rPr>
          </w:pPr>
          <w:hyperlink w:anchor="_Toc1135556445">
            <w:r w:rsidRPr="53DEF7DD" w:rsidR="53DEF7DD">
              <w:rPr>
                <w:rStyle w:val="Hipervnculo"/>
              </w:rPr>
              <w:t>5.3.3.5. Impactos específicos en la salud física</w:t>
            </w:r>
            <w:r>
              <w:tab/>
            </w:r>
            <w:r>
              <w:fldChar w:fldCharType="begin"/>
            </w:r>
            <w:r>
              <w:instrText xml:space="preserve">PAGEREF _Toc1135556445 \h</w:instrText>
            </w:r>
            <w:r>
              <w:fldChar w:fldCharType="separate"/>
            </w:r>
            <w:r w:rsidRPr="53DEF7DD" w:rsidR="53DEF7DD">
              <w:rPr>
                <w:rStyle w:val="Hipervnculo"/>
              </w:rPr>
              <w:t>86</w:t>
            </w:r>
            <w:r>
              <w:fldChar w:fldCharType="end"/>
            </w:r>
          </w:hyperlink>
        </w:p>
        <w:p w:rsidR="00527B8C" w:rsidP="53DEF7DD" w:rsidRDefault="00212A57" w14:paraId="0C68A70A" w14:textId="32FE0C4E">
          <w:pPr>
            <w:pStyle w:val="TDC4"/>
            <w:tabs>
              <w:tab w:val="right" w:leader="dot" w:pos="9360"/>
            </w:tabs>
            <w:bidi w:val="0"/>
            <w:spacing w:before="0" w:line="240" w:lineRule="auto"/>
            <w:rPr>
              <w:rStyle w:val="Hipervnculo"/>
            </w:rPr>
          </w:pPr>
          <w:hyperlink w:anchor="_Toc1854061832">
            <w:r w:rsidRPr="53DEF7DD" w:rsidR="53DEF7DD">
              <w:rPr>
                <w:rStyle w:val="Hipervnculo"/>
              </w:rPr>
              <w:t>5.3.3.6. Riesgos ambientales directos que afectan la salud</w:t>
            </w:r>
            <w:r>
              <w:tab/>
            </w:r>
            <w:r>
              <w:fldChar w:fldCharType="begin"/>
            </w:r>
            <w:r>
              <w:instrText xml:space="preserve">PAGEREF _Toc1854061832 \h</w:instrText>
            </w:r>
            <w:r>
              <w:fldChar w:fldCharType="separate"/>
            </w:r>
            <w:r w:rsidRPr="53DEF7DD" w:rsidR="53DEF7DD">
              <w:rPr>
                <w:rStyle w:val="Hipervnculo"/>
              </w:rPr>
              <w:t>88</w:t>
            </w:r>
            <w:r>
              <w:fldChar w:fldCharType="end"/>
            </w:r>
          </w:hyperlink>
        </w:p>
        <w:p w:rsidR="00527B8C" w:rsidP="53DEF7DD" w:rsidRDefault="00212A57" w14:paraId="5893398E" w14:textId="7E102FF2">
          <w:pPr>
            <w:pStyle w:val="TDC2"/>
            <w:tabs>
              <w:tab w:val="right" w:leader="dot" w:pos="9360"/>
            </w:tabs>
            <w:bidi w:val="0"/>
            <w:spacing w:before="0" w:line="240" w:lineRule="auto"/>
            <w:rPr>
              <w:rStyle w:val="Hipervnculo"/>
            </w:rPr>
          </w:pPr>
          <w:hyperlink w:anchor="_Toc458380393">
            <w:r w:rsidRPr="53DEF7DD" w:rsidR="53DEF7DD">
              <w:rPr>
                <w:rStyle w:val="Hipervnculo"/>
              </w:rPr>
              <w:t>Matriz de Impactos en la Salud</w:t>
            </w:r>
            <w:r>
              <w:tab/>
            </w:r>
            <w:r>
              <w:fldChar w:fldCharType="begin"/>
            </w:r>
            <w:r>
              <w:instrText xml:space="preserve">PAGEREF _Toc458380393 \h</w:instrText>
            </w:r>
            <w:r>
              <w:fldChar w:fldCharType="separate"/>
            </w:r>
            <w:r w:rsidRPr="53DEF7DD" w:rsidR="53DEF7DD">
              <w:rPr>
                <w:rStyle w:val="Hipervnculo"/>
              </w:rPr>
              <w:t>88</w:t>
            </w:r>
            <w:r>
              <w:fldChar w:fldCharType="end"/>
            </w:r>
          </w:hyperlink>
        </w:p>
        <w:p w:rsidR="00527B8C" w:rsidP="53DEF7DD" w:rsidRDefault="00212A57" w14:paraId="73ADCA6B" w14:textId="542BEB75">
          <w:pPr>
            <w:pStyle w:val="TDC1"/>
            <w:tabs>
              <w:tab w:val="right" w:leader="dot" w:pos="9360"/>
            </w:tabs>
            <w:bidi w:val="0"/>
            <w:spacing w:before="0" w:line="240" w:lineRule="auto"/>
            <w:rPr>
              <w:rStyle w:val="Hipervnculo"/>
            </w:rPr>
          </w:pPr>
          <w:hyperlink w:anchor="_Toc1822623101">
            <w:r w:rsidRPr="53DEF7DD" w:rsidR="53DEF7DD">
              <w:rPr>
                <w:rStyle w:val="Hipervnculo"/>
              </w:rPr>
              <w:t>6. Cadena Productiva y Economía Regional</w:t>
            </w:r>
            <w:r>
              <w:tab/>
            </w:r>
            <w:r>
              <w:fldChar w:fldCharType="begin"/>
            </w:r>
            <w:r>
              <w:instrText xml:space="preserve">PAGEREF _Toc1822623101 \h</w:instrText>
            </w:r>
            <w:r>
              <w:fldChar w:fldCharType="separate"/>
            </w:r>
            <w:r w:rsidRPr="53DEF7DD" w:rsidR="53DEF7DD">
              <w:rPr>
                <w:rStyle w:val="Hipervnculo"/>
              </w:rPr>
              <w:t>91</w:t>
            </w:r>
            <w:r>
              <w:fldChar w:fldCharType="end"/>
            </w:r>
          </w:hyperlink>
        </w:p>
        <w:p w:rsidR="00527B8C" w:rsidP="53DEF7DD" w:rsidRDefault="00212A57" w14:paraId="01A08DFE" w14:textId="04054E29">
          <w:pPr>
            <w:pStyle w:val="TDC2"/>
            <w:tabs>
              <w:tab w:val="right" w:leader="dot" w:pos="9360"/>
            </w:tabs>
            <w:bidi w:val="0"/>
            <w:spacing w:before="0" w:line="240" w:lineRule="auto"/>
            <w:rPr>
              <w:rStyle w:val="Hipervnculo"/>
            </w:rPr>
          </w:pPr>
          <w:hyperlink w:anchor="_Toc1401891089">
            <w:r w:rsidRPr="53DEF7DD" w:rsidR="53DEF7DD">
              <w:rPr>
                <w:rStyle w:val="Hipervnculo"/>
              </w:rPr>
              <w:t>6.1. Contexto y Justificación</w:t>
            </w:r>
            <w:r>
              <w:tab/>
            </w:r>
            <w:r>
              <w:fldChar w:fldCharType="begin"/>
            </w:r>
            <w:r>
              <w:instrText xml:space="preserve">PAGEREF _Toc1401891089 \h</w:instrText>
            </w:r>
            <w:r>
              <w:fldChar w:fldCharType="separate"/>
            </w:r>
            <w:r w:rsidRPr="53DEF7DD" w:rsidR="53DEF7DD">
              <w:rPr>
                <w:rStyle w:val="Hipervnculo"/>
              </w:rPr>
              <w:t>91</w:t>
            </w:r>
            <w:r>
              <w:fldChar w:fldCharType="end"/>
            </w:r>
          </w:hyperlink>
        </w:p>
        <w:p w:rsidR="00527B8C" w:rsidP="53DEF7DD" w:rsidRDefault="00212A57" w14:paraId="0DA6956A" w14:textId="63A3765C">
          <w:pPr>
            <w:pStyle w:val="TDC2"/>
            <w:tabs>
              <w:tab w:val="right" w:leader="dot" w:pos="9360"/>
            </w:tabs>
            <w:bidi w:val="0"/>
            <w:spacing w:before="0" w:line="240" w:lineRule="auto"/>
            <w:rPr>
              <w:rStyle w:val="Hipervnculo"/>
            </w:rPr>
          </w:pPr>
          <w:hyperlink w:anchor="_Toc1030416150">
            <w:r w:rsidRPr="53DEF7DD" w:rsidR="53DEF7DD">
              <w:rPr>
                <w:rStyle w:val="Hipervnculo"/>
              </w:rPr>
              <w:t>6.2. Retos Identificados</w:t>
            </w:r>
            <w:r>
              <w:tab/>
            </w:r>
            <w:r>
              <w:fldChar w:fldCharType="begin"/>
            </w:r>
            <w:r>
              <w:instrText xml:space="preserve">PAGEREF _Toc1030416150 \h</w:instrText>
            </w:r>
            <w:r>
              <w:fldChar w:fldCharType="separate"/>
            </w:r>
            <w:r w:rsidRPr="53DEF7DD" w:rsidR="53DEF7DD">
              <w:rPr>
                <w:rStyle w:val="Hipervnculo"/>
              </w:rPr>
              <w:t>91</w:t>
            </w:r>
            <w:r>
              <w:fldChar w:fldCharType="end"/>
            </w:r>
          </w:hyperlink>
        </w:p>
        <w:p w:rsidR="00527B8C" w:rsidP="53DEF7DD" w:rsidRDefault="00212A57" w14:paraId="0AD4DC3A" w14:textId="225FFB4A">
          <w:pPr>
            <w:pStyle w:val="TDC2"/>
            <w:tabs>
              <w:tab w:val="right" w:leader="dot" w:pos="9360"/>
            </w:tabs>
            <w:bidi w:val="0"/>
            <w:spacing w:before="0" w:line="240" w:lineRule="auto"/>
            <w:rPr>
              <w:rStyle w:val="Hipervnculo"/>
            </w:rPr>
          </w:pPr>
          <w:hyperlink w:anchor="_Toc1067659456">
            <w:r w:rsidRPr="53DEF7DD" w:rsidR="53DEF7DD">
              <w:rPr>
                <w:rStyle w:val="Hipervnculo"/>
              </w:rPr>
              <w:t>6.3. Recomendaciones de Política Pública</w:t>
            </w:r>
            <w:r>
              <w:tab/>
            </w:r>
            <w:r>
              <w:fldChar w:fldCharType="begin"/>
            </w:r>
            <w:r>
              <w:instrText xml:space="preserve">PAGEREF _Toc1067659456 \h</w:instrText>
            </w:r>
            <w:r>
              <w:fldChar w:fldCharType="separate"/>
            </w:r>
            <w:r w:rsidRPr="53DEF7DD" w:rsidR="53DEF7DD">
              <w:rPr>
                <w:rStyle w:val="Hipervnculo"/>
              </w:rPr>
              <w:t>91</w:t>
            </w:r>
            <w:r>
              <w:fldChar w:fldCharType="end"/>
            </w:r>
          </w:hyperlink>
        </w:p>
        <w:p w:rsidR="00527B8C" w:rsidP="53DEF7DD" w:rsidRDefault="00212A57" w14:paraId="256FA486" w14:textId="36E00705">
          <w:pPr>
            <w:pStyle w:val="TDC1"/>
            <w:tabs>
              <w:tab w:val="right" w:leader="dot" w:pos="9360"/>
            </w:tabs>
            <w:bidi w:val="0"/>
            <w:spacing w:before="0" w:line="240" w:lineRule="auto"/>
            <w:rPr>
              <w:rStyle w:val="Hipervnculo"/>
            </w:rPr>
          </w:pPr>
          <w:hyperlink w:anchor="_Toc1748588297">
            <w:r w:rsidRPr="53DEF7DD" w:rsidR="53DEF7DD">
              <w:rPr>
                <w:rStyle w:val="Hipervnculo"/>
              </w:rPr>
              <w:t>7. Retos y Oportunidades</w:t>
            </w:r>
            <w:r>
              <w:tab/>
            </w:r>
            <w:r>
              <w:fldChar w:fldCharType="begin"/>
            </w:r>
            <w:r>
              <w:instrText xml:space="preserve">PAGEREF _Toc1748588297 \h</w:instrText>
            </w:r>
            <w:r>
              <w:fldChar w:fldCharType="separate"/>
            </w:r>
            <w:r w:rsidRPr="53DEF7DD" w:rsidR="53DEF7DD">
              <w:rPr>
                <w:rStyle w:val="Hipervnculo"/>
              </w:rPr>
              <w:t>92</w:t>
            </w:r>
            <w:r>
              <w:fldChar w:fldCharType="end"/>
            </w:r>
          </w:hyperlink>
        </w:p>
        <w:p w:rsidR="00527B8C" w:rsidP="53DEF7DD" w:rsidRDefault="00212A57" w14:paraId="178AD999" w14:textId="3BF3FDE4">
          <w:pPr>
            <w:pStyle w:val="TDC2"/>
            <w:tabs>
              <w:tab w:val="right" w:leader="dot" w:pos="9360"/>
            </w:tabs>
            <w:bidi w:val="0"/>
            <w:spacing w:before="0" w:line="240" w:lineRule="auto"/>
            <w:rPr>
              <w:rStyle w:val="Hipervnculo"/>
            </w:rPr>
          </w:pPr>
          <w:hyperlink w:anchor="_Toc982727809">
            <w:r w:rsidRPr="53DEF7DD" w:rsidR="53DEF7DD">
              <w:rPr>
                <w:rStyle w:val="Hipervnculo"/>
              </w:rPr>
              <w:t>7.1. Retos</w:t>
            </w:r>
            <w:r>
              <w:tab/>
            </w:r>
            <w:r>
              <w:fldChar w:fldCharType="begin"/>
            </w:r>
            <w:r>
              <w:instrText xml:space="preserve">PAGEREF _Toc982727809 \h</w:instrText>
            </w:r>
            <w:r>
              <w:fldChar w:fldCharType="separate"/>
            </w:r>
            <w:r w:rsidRPr="53DEF7DD" w:rsidR="53DEF7DD">
              <w:rPr>
                <w:rStyle w:val="Hipervnculo"/>
              </w:rPr>
              <w:t>92</w:t>
            </w:r>
            <w:r>
              <w:fldChar w:fldCharType="end"/>
            </w:r>
          </w:hyperlink>
        </w:p>
        <w:p w:rsidR="00527B8C" w:rsidP="53DEF7DD" w:rsidRDefault="00212A57" w14:paraId="6B2AC68B" w14:textId="1BB40AC6">
          <w:pPr>
            <w:pStyle w:val="TDC2"/>
            <w:tabs>
              <w:tab w:val="right" w:leader="dot" w:pos="9360"/>
            </w:tabs>
            <w:bidi w:val="0"/>
            <w:spacing w:before="0" w:line="240" w:lineRule="auto"/>
            <w:rPr>
              <w:rStyle w:val="Hipervnculo"/>
            </w:rPr>
          </w:pPr>
          <w:hyperlink w:anchor="_Toc1183596524">
            <w:r w:rsidRPr="53DEF7DD" w:rsidR="53DEF7DD">
              <w:rPr>
                <w:rStyle w:val="Hipervnculo"/>
              </w:rPr>
              <w:t>7.2. Oportunidades</w:t>
            </w:r>
            <w:r>
              <w:tab/>
            </w:r>
            <w:r>
              <w:fldChar w:fldCharType="begin"/>
            </w:r>
            <w:r>
              <w:instrText xml:space="preserve">PAGEREF _Toc1183596524 \h</w:instrText>
            </w:r>
            <w:r>
              <w:fldChar w:fldCharType="separate"/>
            </w:r>
            <w:r w:rsidRPr="53DEF7DD" w:rsidR="53DEF7DD">
              <w:rPr>
                <w:rStyle w:val="Hipervnculo"/>
              </w:rPr>
              <w:t>93</w:t>
            </w:r>
            <w:r>
              <w:fldChar w:fldCharType="end"/>
            </w:r>
          </w:hyperlink>
        </w:p>
        <w:p w:rsidR="00527B8C" w:rsidP="53DEF7DD" w:rsidRDefault="00212A57" w14:paraId="5AA8E418" w14:textId="67C50307">
          <w:pPr>
            <w:pStyle w:val="TDC1"/>
            <w:tabs>
              <w:tab w:val="right" w:leader="dot" w:pos="9360"/>
            </w:tabs>
            <w:bidi w:val="0"/>
            <w:spacing w:before="0" w:line="240" w:lineRule="auto"/>
            <w:rPr>
              <w:rStyle w:val="Hipervnculo"/>
            </w:rPr>
          </w:pPr>
          <w:hyperlink w:anchor="_Toc1778773406">
            <w:r w:rsidRPr="53DEF7DD" w:rsidR="53DEF7DD">
              <w:rPr>
                <w:rStyle w:val="Hipervnculo"/>
              </w:rPr>
              <w:t>8. Conclusiones y Recomendaciones</w:t>
            </w:r>
            <w:r>
              <w:tab/>
            </w:r>
            <w:r>
              <w:fldChar w:fldCharType="begin"/>
            </w:r>
            <w:r>
              <w:instrText xml:space="preserve">PAGEREF _Toc1778773406 \h</w:instrText>
            </w:r>
            <w:r>
              <w:fldChar w:fldCharType="separate"/>
            </w:r>
            <w:r w:rsidRPr="53DEF7DD" w:rsidR="53DEF7DD">
              <w:rPr>
                <w:rStyle w:val="Hipervnculo"/>
              </w:rPr>
              <w:t>96</w:t>
            </w:r>
            <w:r>
              <w:fldChar w:fldCharType="end"/>
            </w:r>
          </w:hyperlink>
        </w:p>
        <w:p w:rsidR="00527B8C" w:rsidP="53DEF7DD" w:rsidRDefault="00212A57" w14:paraId="27EE877D" w14:textId="296C2158">
          <w:pPr>
            <w:pStyle w:val="TDC1"/>
            <w:tabs>
              <w:tab w:val="right" w:leader="dot" w:pos="9360"/>
            </w:tabs>
            <w:bidi w:val="0"/>
            <w:spacing w:before="0" w:line="240" w:lineRule="auto"/>
            <w:rPr>
              <w:rStyle w:val="Hipervnculo"/>
            </w:rPr>
          </w:pPr>
          <w:hyperlink w:anchor="_Toc1544287413">
            <w:r w:rsidRPr="53DEF7DD" w:rsidR="53DEF7DD">
              <w:rPr>
                <w:rStyle w:val="Hipervnculo"/>
              </w:rPr>
              <w:t>Recomendaciones:</w:t>
            </w:r>
            <w:r>
              <w:tab/>
            </w:r>
            <w:r>
              <w:fldChar w:fldCharType="begin"/>
            </w:r>
            <w:r>
              <w:instrText xml:space="preserve">PAGEREF _Toc1544287413 \h</w:instrText>
            </w:r>
            <w:r>
              <w:fldChar w:fldCharType="separate"/>
            </w:r>
            <w:r w:rsidRPr="53DEF7DD" w:rsidR="53DEF7DD">
              <w:rPr>
                <w:rStyle w:val="Hipervnculo"/>
              </w:rPr>
              <w:t>96</w:t>
            </w:r>
            <w:r>
              <w:fldChar w:fldCharType="end"/>
            </w:r>
          </w:hyperlink>
        </w:p>
        <w:p w:rsidR="00527B8C" w:rsidP="53DEF7DD" w:rsidRDefault="00212A57" w14:paraId="0ADE2797" w14:textId="49BE27D3">
          <w:pPr>
            <w:pStyle w:val="TDC1"/>
            <w:tabs>
              <w:tab w:val="right" w:leader="dot" w:pos="9360"/>
            </w:tabs>
            <w:bidi w:val="0"/>
            <w:spacing w:before="0" w:line="240" w:lineRule="auto"/>
            <w:rPr>
              <w:rStyle w:val="Hipervnculo"/>
            </w:rPr>
          </w:pPr>
          <w:hyperlink w:anchor="_Toc479616763">
            <w:r w:rsidRPr="53DEF7DD" w:rsidR="53DEF7DD">
              <w:rPr>
                <w:rStyle w:val="Hipervnculo"/>
              </w:rPr>
              <w:t>9. Referencias</w:t>
            </w:r>
            <w:r>
              <w:tab/>
            </w:r>
            <w:r>
              <w:fldChar w:fldCharType="begin"/>
            </w:r>
            <w:r>
              <w:instrText xml:space="preserve">PAGEREF _Toc479616763 \h</w:instrText>
            </w:r>
            <w:r>
              <w:fldChar w:fldCharType="separate"/>
            </w:r>
            <w:r w:rsidRPr="53DEF7DD" w:rsidR="53DEF7DD">
              <w:rPr>
                <w:rStyle w:val="Hipervnculo"/>
              </w:rPr>
              <w:t>97</w:t>
            </w:r>
            <w:r>
              <w:fldChar w:fldCharType="end"/>
            </w:r>
          </w:hyperlink>
          <w:r>
            <w:fldChar w:fldCharType="end"/>
          </w:r>
        </w:p>
      </w:sdtContent>
    </w:sdt>
    <w:p w:rsidR="00527B8C" w:rsidP="53DEF7DD" w:rsidRDefault="00212A57" w14:paraId="787CB599" w14:textId="442E5477">
      <w:pPr>
        <w:pStyle w:val="Normal"/>
        <w:jc w:val="center"/>
        <w:rPr>
          <w:b w:val="1"/>
          <w:bCs w:val="1"/>
          <w:color w:val="0070C0"/>
          <w:sz w:val="24"/>
          <w:szCs w:val="24"/>
          <w:lang w:val="es-CO"/>
        </w:rPr>
      </w:pPr>
    </w:p>
    <w:p w:rsidR="00527B8C" w:rsidP="53DEF7DD" w:rsidRDefault="00212A57" w14:paraId="70676B33" w14:textId="668EDCA9">
      <w:pPr>
        <w:pStyle w:val="Normal"/>
        <w:jc w:val="center"/>
        <w:rPr>
          <w:b w:val="1"/>
          <w:bCs w:val="1"/>
          <w:color w:val="0070C0"/>
          <w:sz w:val="24"/>
          <w:szCs w:val="24"/>
          <w:lang w:val="es-CO"/>
        </w:rPr>
      </w:pPr>
      <w:bookmarkStart w:name="_Toc216558611" w:id="1"/>
      <w:r w:rsidRPr="53DEF7DD" w:rsidR="670101B5">
        <w:rPr>
          <w:b w:val="1"/>
          <w:bCs w:val="1"/>
          <w:color w:val="0070C0"/>
          <w:sz w:val="24"/>
          <w:szCs w:val="24"/>
          <w:lang w:val="es-CO"/>
        </w:rPr>
        <w:t>Índice de mapas</w:t>
      </w:r>
      <w:bookmarkEnd w:id="1"/>
    </w:p>
    <w:p w:rsidR="00527B8C" w:rsidP="001D62C0" w:rsidRDefault="00527B8C" w14:paraId="4A888035" w14:textId="77777777">
      <w:pPr>
        <w:spacing w:after="0" w:line="240" w:lineRule="auto"/>
        <w:jc w:val="both"/>
        <w:rPr>
          <w:rFonts w:cs="Calibri"/>
          <w:b/>
          <w:bCs/>
          <w:sz w:val="24"/>
          <w:szCs w:val="24"/>
          <w:lang w:val="es-CO"/>
        </w:rPr>
      </w:pPr>
    </w:p>
    <w:p w:rsidR="00563776" w:rsidP="00563776" w:rsidRDefault="00212A57" w14:paraId="3CFA7349" w14:textId="4C5022BB">
      <w:pPr>
        <w:pStyle w:val="Tabladeilustraciones"/>
        <w:tabs>
          <w:tab w:val="right" w:leader="dot" w:pos="9350"/>
        </w:tabs>
        <w:spacing w:line="360" w:lineRule="auto"/>
        <w:rPr>
          <w:rFonts w:asciiTheme="minorHAnsi" w:hAnsiTheme="minorHAnsi" w:eastAsiaTheme="minorEastAsia"/>
          <w:noProof/>
          <w:kern w:val="2"/>
          <w:sz w:val="24"/>
          <w:szCs w:val="24"/>
          <w:lang w:val="es-CO" w:eastAsia="es-CO"/>
          <w14:ligatures w14:val="standardContextual"/>
        </w:rPr>
      </w:pPr>
      <w:r>
        <w:rPr>
          <w:rFonts w:cs="Calibri"/>
          <w:b/>
          <w:bCs/>
          <w:sz w:val="24"/>
          <w:szCs w:val="24"/>
          <w:lang w:val="es-CO"/>
        </w:rPr>
        <w:fldChar w:fldCharType="begin"/>
      </w:r>
      <w:r>
        <w:rPr>
          <w:rFonts w:cs="Calibri"/>
          <w:b/>
          <w:bCs/>
          <w:sz w:val="24"/>
          <w:szCs w:val="24"/>
          <w:lang w:val="es-CO"/>
        </w:rPr>
        <w:instrText xml:space="preserve"> TOC \h \z \c "Mapa" </w:instrText>
      </w:r>
      <w:r>
        <w:rPr>
          <w:rFonts w:cs="Calibri"/>
          <w:b/>
          <w:bCs/>
          <w:sz w:val="24"/>
          <w:szCs w:val="24"/>
          <w:lang w:val="es-CO"/>
        </w:rPr>
        <w:fldChar w:fldCharType="separate"/>
      </w:r>
      <w:hyperlink w:history="1" w:anchor="_Toc216558729">
        <w:r w:rsidRPr="00103947" w:rsidR="00563776">
          <w:rPr>
            <w:rStyle w:val="Hipervnculo"/>
            <w:noProof/>
          </w:rPr>
          <w:t>Mapa</w:t>
        </w:r>
        <w:r w:rsidRPr="00103947" w:rsidR="00563776">
          <w:rPr>
            <w:rStyle w:val="Hipervnculo"/>
            <w:noProof/>
            <w:lang w:val="es-CO"/>
          </w:rPr>
          <w:t xml:space="preserve"> No.</w:t>
        </w:r>
        <w:r w:rsidRPr="00103947" w:rsidR="00563776">
          <w:rPr>
            <w:rStyle w:val="Hipervnculo"/>
            <w:noProof/>
          </w:rPr>
          <w:t xml:space="preserve"> 1 Donde se determina que no hay títulos mineros en el departamento del Amazonas</w:t>
        </w:r>
        <w:r w:rsidR="00563776">
          <w:rPr>
            <w:noProof/>
            <w:webHidden/>
          </w:rPr>
          <w:tab/>
        </w:r>
        <w:r w:rsidR="00563776">
          <w:rPr>
            <w:noProof/>
            <w:webHidden/>
          </w:rPr>
          <w:fldChar w:fldCharType="begin"/>
        </w:r>
        <w:r w:rsidR="00563776">
          <w:rPr>
            <w:noProof/>
            <w:webHidden/>
          </w:rPr>
          <w:instrText xml:space="preserve"> PAGEREF _Toc216558729 \h </w:instrText>
        </w:r>
        <w:r w:rsidR="00563776">
          <w:rPr>
            <w:noProof/>
            <w:webHidden/>
          </w:rPr>
        </w:r>
        <w:r w:rsidR="00563776">
          <w:rPr>
            <w:noProof/>
            <w:webHidden/>
          </w:rPr>
          <w:fldChar w:fldCharType="separate"/>
        </w:r>
        <w:r w:rsidR="00EE79CE">
          <w:rPr>
            <w:noProof/>
            <w:webHidden/>
          </w:rPr>
          <w:t>44</w:t>
        </w:r>
        <w:r w:rsidR="00563776">
          <w:rPr>
            <w:noProof/>
            <w:webHidden/>
          </w:rPr>
          <w:fldChar w:fldCharType="end"/>
        </w:r>
      </w:hyperlink>
    </w:p>
    <w:p w:rsidR="00563776" w:rsidP="00563776" w:rsidRDefault="00563776" w14:paraId="6F2584EB" w14:textId="7B9838CE">
      <w:pPr>
        <w:pStyle w:val="Tabladeilustraciones"/>
        <w:tabs>
          <w:tab w:val="right" w:leader="dot" w:pos="9350"/>
        </w:tabs>
        <w:spacing w:line="360" w:lineRule="auto"/>
        <w:rPr>
          <w:rFonts w:asciiTheme="minorHAnsi" w:hAnsiTheme="minorHAnsi" w:eastAsiaTheme="minorEastAsia"/>
          <w:noProof/>
          <w:kern w:val="2"/>
          <w:sz w:val="24"/>
          <w:szCs w:val="24"/>
          <w:lang w:val="es-CO" w:eastAsia="es-CO"/>
          <w14:ligatures w14:val="standardContextual"/>
        </w:rPr>
      </w:pPr>
      <w:hyperlink w:history="1" w:anchor="_Toc216558730">
        <w:r w:rsidRPr="00103947">
          <w:rPr>
            <w:rStyle w:val="Hipervnculo"/>
            <w:noProof/>
          </w:rPr>
          <w:t xml:space="preserve">Mapa </w:t>
        </w:r>
        <w:r w:rsidRPr="00103947">
          <w:rPr>
            <w:rStyle w:val="Hipervnculo"/>
            <w:noProof/>
            <w:lang w:val="es-CO"/>
          </w:rPr>
          <w:t xml:space="preserve">No. </w:t>
        </w:r>
        <w:r w:rsidRPr="00103947">
          <w:rPr>
            <w:rStyle w:val="Hipervnculo"/>
            <w:noProof/>
          </w:rPr>
          <w:t>2 Extracción de material de arrastre en Florencia Caquetá</w:t>
        </w:r>
        <w:r>
          <w:rPr>
            <w:noProof/>
            <w:webHidden/>
          </w:rPr>
          <w:tab/>
        </w:r>
        <w:r>
          <w:rPr>
            <w:noProof/>
            <w:webHidden/>
          </w:rPr>
          <w:fldChar w:fldCharType="begin"/>
        </w:r>
        <w:r>
          <w:rPr>
            <w:noProof/>
            <w:webHidden/>
          </w:rPr>
          <w:instrText xml:space="preserve"> PAGEREF _Toc216558730 \h </w:instrText>
        </w:r>
        <w:r>
          <w:rPr>
            <w:noProof/>
            <w:webHidden/>
          </w:rPr>
        </w:r>
        <w:r>
          <w:rPr>
            <w:noProof/>
            <w:webHidden/>
          </w:rPr>
          <w:fldChar w:fldCharType="separate"/>
        </w:r>
        <w:r w:rsidR="00EE79CE">
          <w:rPr>
            <w:noProof/>
            <w:webHidden/>
          </w:rPr>
          <w:t>46</w:t>
        </w:r>
        <w:r>
          <w:rPr>
            <w:noProof/>
            <w:webHidden/>
          </w:rPr>
          <w:fldChar w:fldCharType="end"/>
        </w:r>
      </w:hyperlink>
    </w:p>
    <w:p w:rsidR="00563776" w:rsidP="00563776" w:rsidRDefault="00563776" w14:paraId="0D691D91" w14:textId="31C902D0">
      <w:pPr>
        <w:pStyle w:val="Tabladeilustraciones"/>
        <w:tabs>
          <w:tab w:val="right" w:leader="dot" w:pos="9350"/>
        </w:tabs>
        <w:spacing w:line="360" w:lineRule="auto"/>
        <w:rPr>
          <w:rFonts w:asciiTheme="minorHAnsi" w:hAnsiTheme="minorHAnsi" w:eastAsiaTheme="minorEastAsia"/>
          <w:noProof/>
          <w:kern w:val="2"/>
          <w:sz w:val="24"/>
          <w:szCs w:val="24"/>
          <w:lang w:val="es-CO" w:eastAsia="es-CO"/>
          <w14:ligatures w14:val="standardContextual"/>
        </w:rPr>
      </w:pPr>
      <w:hyperlink w:history="1" w:anchor="_Toc216558731">
        <w:r w:rsidRPr="00103947">
          <w:rPr>
            <w:rStyle w:val="Hipervnculo"/>
            <w:noProof/>
          </w:rPr>
          <w:t xml:space="preserve">Mapa </w:t>
        </w:r>
        <w:r w:rsidRPr="00103947">
          <w:rPr>
            <w:rStyle w:val="Hipervnculo"/>
            <w:noProof/>
            <w:lang w:val="es-CO"/>
          </w:rPr>
          <w:t xml:space="preserve">No. </w:t>
        </w:r>
        <w:r w:rsidRPr="00103947">
          <w:rPr>
            <w:rStyle w:val="Hipervnculo"/>
            <w:noProof/>
          </w:rPr>
          <w:t>3  Extracción de material de arrastre en el departamento del Caquetá</w:t>
        </w:r>
        <w:r>
          <w:rPr>
            <w:noProof/>
            <w:webHidden/>
          </w:rPr>
          <w:tab/>
        </w:r>
        <w:r>
          <w:rPr>
            <w:noProof/>
            <w:webHidden/>
          </w:rPr>
          <w:fldChar w:fldCharType="begin"/>
        </w:r>
        <w:r>
          <w:rPr>
            <w:noProof/>
            <w:webHidden/>
          </w:rPr>
          <w:instrText xml:space="preserve"> PAGEREF _Toc216558731 \h </w:instrText>
        </w:r>
        <w:r>
          <w:rPr>
            <w:noProof/>
            <w:webHidden/>
          </w:rPr>
        </w:r>
        <w:r>
          <w:rPr>
            <w:noProof/>
            <w:webHidden/>
          </w:rPr>
          <w:fldChar w:fldCharType="separate"/>
        </w:r>
        <w:r w:rsidR="00EE79CE">
          <w:rPr>
            <w:noProof/>
            <w:webHidden/>
          </w:rPr>
          <w:t>47</w:t>
        </w:r>
        <w:r>
          <w:rPr>
            <w:noProof/>
            <w:webHidden/>
          </w:rPr>
          <w:fldChar w:fldCharType="end"/>
        </w:r>
      </w:hyperlink>
    </w:p>
    <w:p w:rsidR="00563776" w:rsidP="00563776" w:rsidRDefault="00563776" w14:paraId="149FF043" w14:textId="79A9B7B0">
      <w:pPr>
        <w:pStyle w:val="Tabladeilustraciones"/>
        <w:tabs>
          <w:tab w:val="right" w:leader="dot" w:pos="9350"/>
        </w:tabs>
        <w:spacing w:line="360" w:lineRule="auto"/>
        <w:rPr>
          <w:rFonts w:asciiTheme="minorHAnsi" w:hAnsiTheme="minorHAnsi" w:eastAsiaTheme="minorEastAsia"/>
          <w:noProof/>
          <w:kern w:val="2"/>
          <w:sz w:val="24"/>
          <w:szCs w:val="24"/>
          <w:lang w:val="es-CO" w:eastAsia="es-CO"/>
          <w14:ligatures w14:val="standardContextual"/>
        </w:rPr>
      </w:pPr>
      <w:hyperlink w:history="1" w:anchor="_Toc216558732">
        <w:r w:rsidRPr="00103947">
          <w:rPr>
            <w:rStyle w:val="Hipervnculo"/>
            <w:noProof/>
          </w:rPr>
          <w:t xml:space="preserve">Mapa </w:t>
        </w:r>
        <w:r w:rsidRPr="00103947">
          <w:rPr>
            <w:rStyle w:val="Hipervnculo"/>
            <w:noProof/>
            <w:lang w:val="es-CO"/>
          </w:rPr>
          <w:t xml:space="preserve">No. </w:t>
        </w:r>
        <w:r w:rsidRPr="00103947">
          <w:rPr>
            <w:rStyle w:val="Hipervnculo"/>
            <w:noProof/>
          </w:rPr>
          <w:t>4 Extracción de material de arrastre sobre el Río Inírida, departamento de Guainía</w:t>
        </w:r>
        <w:r>
          <w:rPr>
            <w:noProof/>
            <w:webHidden/>
          </w:rPr>
          <w:tab/>
        </w:r>
        <w:r>
          <w:rPr>
            <w:noProof/>
            <w:webHidden/>
          </w:rPr>
          <w:fldChar w:fldCharType="begin"/>
        </w:r>
        <w:r>
          <w:rPr>
            <w:noProof/>
            <w:webHidden/>
          </w:rPr>
          <w:instrText xml:space="preserve"> PAGEREF _Toc216558732 \h </w:instrText>
        </w:r>
        <w:r>
          <w:rPr>
            <w:noProof/>
            <w:webHidden/>
          </w:rPr>
        </w:r>
        <w:r>
          <w:rPr>
            <w:noProof/>
            <w:webHidden/>
          </w:rPr>
          <w:fldChar w:fldCharType="separate"/>
        </w:r>
        <w:r w:rsidR="00EE79CE">
          <w:rPr>
            <w:noProof/>
            <w:webHidden/>
          </w:rPr>
          <w:t>48</w:t>
        </w:r>
        <w:r>
          <w:rPr>
            <w:noProof/>
            <w:webHidden/>
          </w:rPr>
          <w:fldChar w:fldCharType="end"/>
        </w:r>
      </w:hyperlink>
    </w:p>
    <w:p w:rsidR="00563776" w:rsidP="00563776" w:rsidRDefault="00563776" w14:paraId="56D0F0BD" w14:textId="2B1E6FDC">
      <w:pPr>
        <w:pStyle w:val="Tabladeilustraciones"/>
        <w:tabs>
          <w:tab w:val="right" w:leader="dot" w:pos="9350"/>
        </w:tabs>
        <w:spacing w:line="360" w:lineRule="auto"/>
        <w:rPr>
          <w:rFonts w:asciiTheme="minorHAnsi" w:hAnsiTheme="minorHAnsi" w:eastAsiaTheme="minorEastAsia"/>
          <w:noProof/>
          <w:kern w:val="2"/>
          <w:sz w:val="24"/>
          <w:szCs w:val="24"/>
          <w:lang w:val="es-CO" w:eastAsia="es-CO"/>
          <w14:ligatures w14:val="standardContextual"/>
        </w:rPr>
      </w:pPr>
      <w:hyperlink w:history="1" w:anchor="_Toc216558733">
        <w:r w:rsidRPr="00103947">
          <w:rPr>
            <w:rStyle w:val="Hipervnculo"/>
            <w:noProof/>
          </w:rPr>
          <w:t>Mapa 5 Extracción de material de arrastre en el departamento del Putumayo</w:t>
        </w:r>
        <w:r>
          <w:rPr>
            <w:noProof/>
            <w:webHidden/>
          </w:rPr>
          <w:tab/>
        </w:r>
        <w:r>
          <w:rPr>
            <w:noProof/>
            <w:webHidden/>
          </w:rPr>
          <w:fldChar w:fldCharType="begin"/>
        </w:r>
        <w:r>
          <w:rPr>
            <w:noProof/>
            <w:webHidden/>
          </w:rPr>
          <w:instrText xml:space="preserve"> PAGEREF _Toc216558733 \h </w:instrText>
        </w:r>
        <w:r>
          <w:rPr>
            <w:noProof/>
            <w:webHidden/>
          </w:rPr>
        </w:r>
        <w:r>
          <w:rPr>
            <w:noProof/>
            <w:webHidden/>
          </w:rPr>
          <w:fldChar w:fldCharType="separate"/>
        </w:r>
        <w:r w:rsidR="00EE79CE">
          <w:rPr>
            <w:noProof/>
            <w:webHidden/>
          </w:rPr>
          <w:t>50</w:t>
        </w:r>
        <w:r>
          <w:rPr>
            <w:noProof/>
            <w:webHidden/>
          </w:rPr>
          <w:fldChar w:fldCharType="end"/>
        </w:r>
      </w:hyperlink>
    </w:p>
    <w:p w:rsidR="00563776" w:rsidP="00563776" w:rsidRDefault="00563776" w14:paraId="28B0578E" w14:textId="69853757">
      <w:pPr>
        <w:pStyle w:val="Tabladeilustraciones"/>
        <w:tabs>
          <w:tab w:val="right" w:leader="dot" w:pos="9350"/>
        </w:tabs>
        <w:spacing w:line="360" w:lineRule="auto"/>
        <w:rPr>
          <w:rFonts w:asciiTheme="minorHAnsi" w:hAnsiTheme="minorHAnsi" w:eastAsiaTheme="minorEastAsia"/>
          <w:noProof/>
          <w:kern w:val="2"/>
          <w:sz w:val="24"/>
          <w:szCs w:val="24"/>
          <w:lang w:val="es-CO" w:eastAsia="es-CO"/>
          <w14:ligatures w14:val="standardContextual"/>
        </w:rPr>
      </w:pPr>
      <w:hyperlink w:history="1" w:anchor="_Toc216558734">
        <w:r w:rsidRPr="00103947">
          <w:rPr>
            <w:rStyle w:val="Hipervnculo"/>
            <w:noProof/>
          </w:rPr>
          <w:t>Mapa 6 Comunidades Indígenas en el Putumayo</w:t>
        </w:r>
        <w:r>
          <w:rPr>
            <w:noProof/>
            <w:webHidden/>
          </w:rPr>
          <w:tab/>
        </w:r>
        <w:r>
          <w:rPr>
            <w:noProof/>
            <w:webHidden/>
          </w:rPr>
          <w:fldChar w:fldCharType="begin"/>
        </w:r>
        <w:r>
          <w:rPr>
            <w:noProof/>
            <w:webHidden/>
          </w:rPr>
          <w:instrText xml:space="preserve"> PAGEREF _Toc216558734 \h </w:instrText>
        </w:r>
        <w:r>
          <w:rPr>
            <w:noProof/>
            <w:webHidden/>
          </w:rPr>
        </w:r>
        <w:r>
          <w:rPr>
            <w:noProof/>
            <w:webHidden/>
          </w:rPr>
          <w:fldChar w:fldCharType="separate"/>
        </w:r>
        <w:r w:rsidR="00EE79CE">
          <w:rPr>
            <w:noProof/>
            <w:webHidden/>
          </w:rPr>
          <w:t>69</w:t>
        </w:r>
        <w:r>
          <w:rPr>
            <w:noProof/>
            <w:webHidden/>
          </w:rPr>
          <w:fldChar w:fldCharType="end"/>
        </w:r>
      </w:hyperlink>
    </w:p>
    <w:p w:rsidR="00527B8C" w:rsidP="00563776" w:rsidRDefault="00212A57" w14:paraId="345BC84E" w14:textId="101BB4B6">
      <w:pPr>
        <w:spacing w:after="0" w:line="360" w:lineRule="auto"/>
        <w:jc w:val="both"/>
        <w:rPr>
          <w:rFonts w:cs="Calibri"/>
          <w:b/>
          <w:bCs/>
          <w:sz w:val="24"/>
          <w:szCs w:val="24"/>
          <w:lang w:val="es-CO"/>
        </w:rPr>
      </w:pPr>
      <w:r>
        <w:rPr>
          <w:rFonts w:cs="Calibri"/>
          <w:b/>
          <w:bCs/>
          <w:sz w:val="24"/>
          <w:szCs w:val="24"/>
          <w:lang w:val="es-CO"/>
        </w:rPr>
        <w:fldChar w:fldCharType="end"/>
      </w:r>
    </w:p>
    <w:p w:rsidR="00DD5AA1" w:rsidP="53DEF7DD" w:rsidRDefault="00DD5AA1" w14:paraId="45CE8900" w14:textId="42D5FEAA">
      <w:pPr>
        <w:pStyle w:val="Normal"/>
        <w:jc w:val="center"/>
        <w:rPr>
          <w:b w:val="1"/>
          <w:bCs w:val="1"/>
          <w:color w:val="0070C0"/>
          <w:sz w:val="24"/>
          <w:szCs w:val="24"/>
          <w:lang w:val="es-CO"/>
        </w:rPr>
      </w:pPr>
      <w:bookmarkStart w:name="_Toc216558612" w:id="2"/>
      <w:r w:rsidRPr="53DEF7DD" w:rsidR="5BACBEB4">
        <w:rPr>
          <w:b w:val="1"/>
          <w:bCs w:val="1"/>
          <w:color w:val="0070C0"/>
          <w:sz w:val="24"/>
          <w:szCs w:val="24"/>
          <w:lang w:val="es-CO"/>
        </w:rPr>
        <w:t>Índice de tablas</w:t>
      </w:r>
      <w:bookmarkEnd w:id="2"/>
    </w:p>
    <w:p w:rsidR="00DD5AA1" w:rsidP="001D62C0" w:rsidRDefault="00DD5AA1" w14:paraId="212E7148" w14:textId="77777777">
      <w:pPr>
        <w:spacing w:after="0" w:line="240" w:lineRule="auto"/>
        <w:rPr>
          <w:lang w:val="es-CO"/>
        </w:rPr>
      </w:pPr>
    </w:p>
    <w:p w:rsidR="00563776" w:rsidP="00563776" w:rsidRDefault="00DD5AA1" w14:paraId="3190FA95" w14:textId="0AF1247B">
      <w:pPr>
        <w:pStyle w:val="Tabladeilustraciones"/>
        <w:tabs>
          <w:tab w:val="right" w:leader="dot" w:pos="9350"/>
        </w:tabs>
        <w:spacing w:line="360" w:lineRule="auto"/>
        <w:rPr>
          <w:rFonts w:asciiTheme="minorHAnsi" w:hAnsiTheme="minorHAnsi" w:eastAsiaTheme="minorEastAsia"/>
          <w:noProof/>
          <w:kern w:val="2"/>
          <w:sz w:val="24"/>
          <w:szCs w:val="24"/>
          <w:lang w:val="es-CO" w:eastAsia="es-CO"/>
          <w14:ligatures w14:val="standardContextual"/>
        </w:rPr>
      </w:pPr>
      <w:r>
        <w:rPr>
          <w:lang w:val="es-CO"/>
        </w:rPr>
        <w:fldChar w:fldCharType="begin"/>
      </w:r>
      <w:r>
        <w:rPr>
          <w:lang w:val="es-CO"/>
        </w:rPr>
        <w:instrText xml:space="preserve"> TOC \h \z \c "Tabla" </w:instrText>
      </w:r>
      <w:r>
        <w:rPr>
          <w:lang w:val="es-CO"/>
        </w:rPr>
        <w:fldChar w:fldCharType="separate"/>
      </w:r>
      <w:hyperlink w:history="1" w:anchor="_Toc216558745">
        <w:r w:rsidRPr="005C5DF5" w:rsidR="00563776">
          <w:rPr>
            <w:rStyle w:val="Hipervnculo"/>
            <w:noProof/>
          </w:rPr>
          <w:t>Tabla 1 Variación anual del sector construcción (2T 2025)</w:t>
        </w:r>
        <w:r w:rsidR="00563776">
          <w:rPr>
            <w:noProof/>
            <w:webHidden/>
          </w:rPr>
          <w:tab/>
        </w:r>
        <w:r w:rsidR="00563776">
          <w:rPr>
            <w:noProof/>
            <w:webHidden/>
          </w:rPr>
          <w:fldChar w:fldCharType="begin"/>
        </w:r>
        <w:r w:rsidR="00563776">
          <w:rPr>
            <w:noProof/>
            <w:webHidden/>
          </w:rPr>
          <w:instrText xml:space="preserve"> PAGEREF _Toc216558745 \h </w:instrText>
        </w:r>
        <w:r w:rsidR="00563776">
          <w:rPr>
            <w:noProof/>
            <w:webHidden/>
          </w:rPr>
        </w:r>
        <w:r w:rsidR="00563776">
          <w:rPr>
            <w:noProof/>
            <w:webHidden/>
          </w:rPr>
          <w:fldChar w:fldCharType="separate"/>
        </w:r>
        <w:r w:rsidR="00EE79CE">
          <w:rPr>
            <w:noProof/>
            <w:webHidden/>
          </w:rPr>
          <w:t>28</w:t>
        </w:r>
        <w:r w:rsidR="00563776">
          <w:rPr>
            <w:noProof/>
            <w:webHidden/>
          </w:rPr>
          <w:fldChar w:fldCharType="end"/>
        </w:r>
      </w:hyperlink>
    </w:p>
    <w:p w:rsidR="00563776" w:rsidRDefault="00563776" w14:paraId="21E9EED0" w14:textId="10D30380">
      <w:pPr>
        <w:pStyle w:val="Tabladeilustraciones"/>
        <w:tabs>
          <w:tab w:val="right" w:leader="dot" w:pos="9350"/>
        </w:tabs>
        <w:rPr>
          <w:rFonts w:asciiTheme="minorHAnsi" w:hAnsiTheme="minorHAnsi" w:eastAsiaTheme="minorEastAsia"/>
          <w:noProof/>
          <w:kern w:val="2"/>
          <w:sz w:val="24"/>
          <w:szCs w:val="24"/>
          <w:lang w:val="es-CO" w:eastAsia="es-CO"/>
          <w14:ligatures w14:val="standardContextual"/>
        </w:rPr>
      </w:pPr>
      <w:hyperlink w:history="1" w:anchor="_Toc216558746">
        <w:r w:rsidRPr="005C5DF5">
          <w:rPr>
            <w:rStyle w:val="Hipervnculo"/>
            <w:noProof/>
          </w:rPr>
          <w:t>Tabla 2 IIRSA – Amazonas, Caquetá y Putumayo (2000–2025): Resumen de obras con métricas y fuentes</w:t>
        </w:r>
        <w:r>
          <w:rPr>
            <w:noProof/>
            <w:webHidden/>
          </w:rPr>
          <w:tab/>
        </w:r>
        <w:r>
          <w:rPr>
            <w:noProof/>
            <w:webHidden/>
          </w:rPr>
          <w:fldChar w:fldCharType="begin"/>
        </w:r>
        <w:r>
          <w:rPr>
            <w:noProof/>
            <w:webHidden/>
          </w:rPr>
          <w:instrText xml:space="preserve"> PAGEREF _Toc216558746 \h </w:instrText>
        </w:r>
        <w:r>
          <w:rPr>
            <w:noProof/>
            <w:webHidden/>
          </w:rPr>
        </w:r>
        <w:r>
          <w:rPr>
            <w:noProof/>
            <w:webHidden/>
          </w:rPr>
          <w:fldChar w:fldCharType="separate"/>
        </w:r>
        <w:r w:rsidR="00EE79CE">
          <w:rPr>
            <w:noProof/>
            <w:webHidden/>
          </w:rPr>
          <w:t>38</w:t>
        </w:r>
        <w:r>
          <w:rPr>
            <w:noProof/>
            <w:webHidden/>
          </w:rPr>
          <w:fldChar w:fldCharType="end"/>
        </w:r>
      </w:hyperlink>
    </w:p>
    <w:p w:rsidR="00563776" w:rsidRDefault="00563776" w14:paraId="267B7363" w14:textId="6BF7AD2A">
      <w:pPr>
        <w:pStyle w:val="Tabladeilustraciones"/>
        <w:tabs>
          <w:tab w:val="right" w:leader="dot" w:pos="9350"/>
        </w:tabs>
        <w:rPr>
          <w:rFonts w:asciiTheme="minorHAnsi" w:hAnsiTheme="minorHAnsi" w:eastAsiaTheme="minorEastAsia"/>
          <w:noProof/>
          <w:kern w:val="2"/>
          <w:sz w:val="24"/>
          <w:szCs w:val="24"/>
          <w:lang w:val="es-CO" w:eastAsia="es-CO"/>
          <w14:ligatures w14:val="standardContextual"/>
        </w:rPr>
      </w:pPr>
      <w:hyperlink w:history="1" w:anchor="_Toc216558747">
        <w:r w:rsidRPr="005C5DF5">
          <w:rPr>
            <w:rStyle w:val="Hipervnculo"/>
            <w:noProof/>
          </w:rPr>
          <w:t>Tabla 3 Eje Andino / Panamericana / Marginal de la Selva – detalle por proyecto:</w:t>
        </w:r>
        <w:r>
          <w:rPr>
            <w:noProof/>
            <w:webHidden/>
          </w:rPr>
          <w:tab/>
        </w:r>
        <w:r>
          <w:rPr>
            <w:noProof/>
            <w:webHidden/>
          </w:rPr>
          <w:fldChar w:fldCharType="begin"/>
        </w:r>
        <w:r>
          <w:rPr>
            <w:noProof/>
            <w:webHidden/>
          </w:rPr>
          <w:instrText xml:space="preserve"> PAGEREF _Toc216558747 \h </w:instrText>
        </w:r>
        <w:r>
          <w:rPr>
            <w:noProof/>
            <w:webHidden/>
          </w:rPr>
        </w:r>
        <w:r>
          <w:rPr>
            <w:noProof/>
            <w:webHidden/>
          </w:rPr>
          <w:fldChar w:fldCharType="separate"/>
        </w:r>
        <w:r w:rsidR="00EE79CE">
          <w:rPr>
            <w:noProof/>
            <w:webHidden/>
          </w:rPr>
          <w:t>39</w:t>
        </w:r>
        <w:r>
          <w:rPr>
            <w:noProof/>
            <w:webHidden/>
          </w:rPr>
          <w:fldChar w:fldCharType="end"/>
        </w:r>
      </w:hyperlink>
    </w:p>
    <w:p w:rsidR="00563776" w:rsidRDefault="00563776" w14:paraId="69065DED" w14:textId="7EA9B4AF">
      <w:pPr>
        <w:pStyle w:val="Tabladeilustraciones"/>
        <w:tabs>
          <w:tab w:val="right" w:leader="dot" w:pos="9350"/>
        </w:tabs>
        <w:rPr>
          <w:rFonts w:asciiTheme="minorHAnsi" w:hAnsiTheme="minorHAnsi" w:eastAsiaTheme="minorEastAsia"/>
          <w:noProof/>
          <w:kern w:val="2"/>
          <w:sz w:val="24"/>
          <w:szCs w:val="24"/>
          <w:lang w:val="es-CO" w:eastAsia="es-CO"/>
          <w14:ligatures w14:val="standardContextual"/>
        </w:rPr>
      </w:pPr>
      <w:hyperlink w:history="1" w:anchor="_Toc216558748">
        <w:r w:rsidRPr="005C5DF5">
          <w:rPr>
            <w:rStyle w:val="Hipervnculo"/>
            <w:noProof/>
          </w:rPr>
          <w:t>Tabla 4 Amazonas – intervenciones fluviales/portuarias (publicados en boletines):</w:t>
        </w:r>
        <w:r>
          <w:rPr>
            <w:noProof/>
            <w:webHidden/>
          </w:rPr>
          <w:tab/>
        </w:r>
        <w:r>
          <w:rPr>
            <w:noProof/>
            <w:webHidden/>
          </w:rPr>
          <w:fldChar w:fldCharType="begin"/>
        </w:r>
        <w:r>
          <w:rPr>
            <w:noProof/>
            <w:webHidden/>
          </w:rPr>
          <w:instrText xml:space="preserve"> PAGEREF _Toc216558748 \h </w:instrText>
        </w:r>
        <w:r>
          <w:rPr>
            <w:noProof/>
            <w:webHidden/>
          </w:rPr>
        </w:r>
        <w:r>
          <w:rPr>
            <w:noProof/>
            <w:webHidden/>
          </w:rPr>
          <w:fldChar w:fldCharType="separate"/>
        </w:r>
        <w:r w:rsidR="00EE79CE">
          <w:rPr>
            <w:noProof/>
            <w:webHidden/>
          </w:rPr>
          <w:t>39</w:t>
        </w:r>
        <w:r>
          <w:rPr>
            <w:noProof/>
            <w:webHidden/>
          </w:rPr>
          <w:fldChar w:fldCharType="end"/>
        </w:r>
      </w:hyperlink>
    </w:p>
    <w:p w:rsidR="00563776" w:rsidRDefault="00563776" w14:paraId="344E3972" w14:textId="52EBD9A9">
      <w:pPr>
        <w:pStyle w:val="Tabladeilustraciones"/>
        <w:tabs>
          <w:tab w:val="right" w:leader="dot" w:pos="9350"/>
        </w:tabs>
        <w:rPr>
          <w:rFonts w:asciiTheme="minorHAnsi" w:hAnsiTheme="minorHAnsi" w:eastAsiaTheme="minorEastAsia"/>
          <w:noProof/>
          <w:kern w:val="2"/>
          <w:sz w:val="24"/>
          <w:szCs w:val="24"/>
          <w:lang w:val="es-CO" w:eastAsia="es-CO"/>
          <w14:ligatures w14:val="standardContextual"/>
        </w:rPr>
      </w:pPr>
      <w:hyperlink w:history="1" w:anchor="_Toc216558749">
        <w:r w:rsidRPr="005C5DF5">
          <w:rPr>
            <w:rStyle w:val="Hipervnculo"/>
            <w:noProof/>
          </w:rPr>
          <w:t>Tabla 5 Vías ilegales y sus impactos ambientales por departamento</w:t>
        </w:r>
        <w:r>
          <w:rPr>
            <w:noProof/>
            <w:webHidden/>
          </w:rPr>
          <w:tab/>
        </w:r>
        <w:r>
          <w:rPr>
            <w:noProof/>
            <w:webHidden/>
          </w:rPr>
          <w:fldChar w:fldCharType="begin"/>
        </w:r>
        <w:r>
          <w:rPr>
            <w:noProof/>
            <w:webHidden/>
          </w:rPr>
          <w:instrText xml:space="preserve"> PAGEREF _Toc216558749 \h </w:instrText>
        </w:r>
        <w:r>
          <w:rPr>
            <w:noProof/>
            <w:webHidden/>
          </w:rPr>
        </w:r>
        <w:r>
          <w:rPr>
            <w:noProof/>
            <w:webHidden/>
          </w:rPr>
          <w:fldChar w:fldCharType="separate"/>
        </w:r>
        <w:r w:rsidR="00EE79CE">
          <w:rPr>
            <w:noProof/>
            <w:webHidden/>
          </w:rPr>
          <w:t>40</w:t>
        </w:r>
        <w:r>
          <w:rPr>
            <w:noProof/>
            <w:webHidden/>
          </w:rPr>
          <w:fldChar w:fldCharType="end"/>
        </w:r>
      </w:hyperlink>
    </w:p>
    <w:p w:rsidR="00563776" w:rsidRDefault="00563776" w14:paraId="37FE96EB" w14:textId="42B4389A">
      <w:pPr>
        <w:pStyle w:val="Tabladeilustraciones"/>
        <w:tabs>
          <w:tab w:val="right" w:leader="dot" w:pos="9350"/>
        </w:tabs>
        <w:rPr>
          <w:rFonts w:asciiTheme="minorHAnsi" w:hAnsiTheme="minorHAnsi" w:eastAsiaTheme="minorEastAsia"/>
          <w:noProof/>
          <w:kern w:val="2"/>
          <w:sz w:val="24"/>
          <w:szCs w:val="24"/>
          <w:lang w:val="es-CO" w:eastAsia="es-CO"/>
          <w14:ligatures w14:val="standardContextual"/>
        </w:rPr>
      </w:pPr>
      <w:hyperlink w:history="1" w:anchor="_Toc216558750">
        <w:r w:rsidRPr="005C5DF5">
          <w:rPr>
            <w:rStyle w:val="Hipervnculo"/>
            <w:noProof/>
          </w:rPr>
          <w:t>Tabla 6 Mineros de subsistencia en el departamento de Caquetá</w:t>
        </w:r>
        <w:r>
          <w:rPr>
            <w:noProof/>
            <w:webHidden/>
          </w:rPr>
          <w:tab/>
        </w:r>
        <w:r>
          <w:rPr>
            <w:noProof/>
            <w:webHidden/>
          </w:rPr>
          <w:fldChar w:fldCharType="begin"/>
        </w:r>
        <w:r>
          <w:rPr>
            <w:noProof/>
            <w:webHidden/>
          </w:rPr>
          <w:instrText xml:space="preserve"> PAGEREF _Toc216558750 \h </w:instrText>
        </w:r>
        <w:r>
          <w:rPr>
            <w:noProof/>
            <w:webHidden/>
          </w:rPr>
        </w:r>
        <w:r>
          <w:rPr>
            <w:noProof/>
            <w:webHidden/>
          </w:rPr>
          <w:fldChar w:fldCharType="separate"/>
        </w:r>
        <w:r w:rsidR="00EE79CE">
          <w:rPr>
            <w:noProof/>
            <w:webHidden/>
          </w:rPr>
          <w:t>47</w:t>
        </w:r>
        <w:r>
          <w:rPr>
            <w:noProof/>
            <w:webHidden/>
          </w:rPr>
          <w:fldChar w:fldCharType="end"/>
        </w:r>
      </w:hyperlink>
    </w:p>
    <w:p w:rsidR="00563776" w:rsidRDefault="00563776" w14:paraId="3CF07A4E" w14:textId="7EB17F0B">
      <w:pPr>
        <w:pStyle w:val="Tabladeilustraciones"/>
        <w:tabs>
          <w:tab w:val="right" w:leader="dot" w:pos="9350"/>
        </w:tabs>
        <w:rPr>
          <w:rFonts w:asciiTheme="minorHAnsi" w:hAnsiTheme="minorHAnsi" w:eastAsiaTheme="minorEastAsia"/>
          <w:noProof/>
          <w:kern w:val="2"/>
          <w:sz w:val="24"/>
          <w:szCs w:val="24"/>
          <w:lang w:val="es-CO" w:eastAsia="es-CO"/>
          <w14:ligatures w14:val="standardContextual"/>
        </w:rPr>
      </w:pPr>
      <w:hyperlink w:history="1" w:anchor="_Toc216558751">
        <w:r w:rsidRPr="005C5DF5">
          <w:rPr>
            <w:rStyle w:val="Hipervnculo"/>
            <w:noProof/>
          </w:rPr>
          <w:t>Tabla 7  Mineros de subsistencia en el departamento de Putumayo</w:t>
        </w:r>
        <w:r>
          <w:rPr>
            <w:noProof/>
            <w:webHidden/>
          </w:rPr>
          <w:tab/>
        </w:r>
        <w:r>
          <w:rPr>
            <w:noProof/>
            <w:webHidden/>
          </w:rPr>
          <w:fldChar w:fldCharType="begin"/>
        </w:r>
        <w:r>
          <w:rPr>
            <w:noProof/>
            <w:webHidden/>
          </w:rPr>
          <w:instrText xml:space="preserve"> PAGEREF _Toc216558751 \h </w:instrText>
        </w:r>
        <w:r>
          <w:rPr>
            <w:noProof/>
            <w:webHidden/>
          </w:rPr>
        </w:r>
        <w:r>
          <w:rPr>
            <w:noProof/>
            <w:webHidden/>
          </w:rPr>
          <w:fldChar w:fldCharType="separate"/>
        </w:r>
        <w:r w:rsidR="00EE79CE">
          <w:rPr>
            <w:noProof/>
            <w:webHidden/>
          </w:rPr>
          <w:t>49</w:t>
        </w:r>
        <w:r>
          <w:rPr>
            <w:noProof/>
            <w:webHidden/>
          </w:rPr>
          <w:fldChar w:fldCharType="end"/>
        </w:r>
      </w:hyperlink>
    </w:p>
    <w:p w:rsidR="00563776" w:rsidRDefault="00563776" w14:paraId="7090E05E" w14:textId="634F82A5">
      <w:pPr>
        <w:pStyle w:val="Tabladeilustraciones"/>
        <w:tabs>
          <w:tab w:val="right" w:leader="dot" w:pos="9350"/>
        </w:tabs>
        <w:rPr>
          <w:rFonts w:asciiTheme="minorHAnsi" w:hAnsiTheme="minorHAnsi" w:eastAsiaTheme="minorEastAsia"/>
          <w:noProof/>
          <w:kern w:val="2"/>
          <w:sz w:val="24"/>
          <w:szCs w:val="24"/>
          <w:lang w:val="es-CO" w:eastAsia="es-CO"/>
          <w14:ligatures w14:val="standardContextual"/>
        </w:rPr>
      </w:pPr>
      <w:hyperlink w:history="1" w:anchor="_Toc216558752">
        <w:r w:rsidRPr="005C5DF5">
          <w:rPr>
            <w:rStyle w:val="Hipervnculo"/>
            <w:noProof/>
          </w:rPr>
          <w:t>Tabla 8 Balance de producción de gravas en los departamentos periodo 2016-2022</w:t>
        </w:r>
        <w:r>
          <w:rPr>
            <w:noProof/>
            <w:webHidden/>
          </w:rPr>
          <w:tab/>
        </w:r>
        <w:r>
          <w:rPr>
            <w:noProof/>
            <w:webHidden/>
          </w:rPr>
          <w:fldChar w:fldCharType="begin"/>
        </w:r>
        <w:r>
          <w:rPr>
            <w:noProof/>
            <w:webHidden/>
          </w:rPr>
          <w:instrText xml:space="preserve"> PAGEREF _Toc216558752 \h </w:instrText>
        </w:r>
        <w:r>
          <w:rPr>
            <w:noProof/>
            <w:webHidden/>
          </w:rPr>
        </w:r>
        <w:r>
          <w:rPr>
            <w:noProof/>
            <w:webHidden/>
          </w:rPr>
          <w:fldChar w:fldCharType="separate"/>
        </w:r>
        <w:r w:rsidR="00EE79CE">
          <w:rPr>
            <w:noProof/>
            <w:webHidden/>
          </w:rPr>
          <w:t>50</w:t>
        </w:r>
        <w:r>
          <w:rPr>
            <w:noProof/>
            <w:webHidden/>
          </w:rPr>
          <w:fldChar w:fldCharType="end"/>
        </w:r>
      </w:hyperlink>
    </w:p>
    <w:p w:rsidR="00563776" w:rsidRDefault="00563776" w14:paraId="00FC74C8" w14:textId="3AD88BFA">
      <w:pPr>
        <w:pStyle w:val="Tabladeilustraciones"/>
        <w:tabs>
          <w:tab w:val="right" w:leader="dot" w:pos="9350"/>
        </w:tabs>
        <w:rPr>
          <w:rFonts w:asciiTheme="minorHAnsi" w:hAnsiTheme="minorHAnsi" w:eastAsiaTheme="minorEastAsia"/>
          <w:noProof/>
          <w:kern w:val="2"/>
          <w:sz w:val="24"/>
          <w:szCs w:val="24"/>
          <w:lang w:val="es-CO" w:eastAsia="es-CO"/>
          <w14:ligatures w14:val="standardContextual"/>
        </w:rPr>
      </w:pPr>
      <w:hyperlink w:history="1" w:anchor="_Toc216558753">
        <w:r w:rsidRPr="005C5DF5">
          <w:rPr>
            <w:rStyle w:val="Hipervnculo"/>
            <w:noProof/>
          </w:rPr>
          <w:t>Tabla 9 Balance de producción de arena en los departamentos periodo 2016-2022</w:t>
        </w:r>
        <w:r>
          <w:rPr>
            <w:noProof/>
            <w:webHidden/>
          </w:rPr>
          <w:tab/>
        </w:r>
        <w:r>
          <w:rPr>
            <w:noProof/>
            <w:webHidden/>
          </w:rPr>
          <w:fldChar w:fldCharType="begin"/>
        </w:r>
        <w:r>
          <w:rPr>
            <w:noProof/>
            <w:webHidden/>
          </w:rPr>
          <w:instrText xml:space="preserve"> PAGEREF _Toc216558753 \h </w:instrText>
        </w:r>
        <w:r>
          <w:rPr>
            <w:noProof/>
            <w:webHidden/>
          </w:rPr>
        </w:r>
        <w:r>
          <w:rPr>
            <w:noProof/>
            <w:webHidden/>
          </w:rPr>
          <w:fldChar w:fldCharType="separate"/>
        </w:r>
        <w:r w:rsidR="00EE79CE">
          <w:rPr>
            <w:noProof/>
            <w:webHidden/>
          </w:rPr>
          <w:t>51</w:t>
        </w:r>
        <w:r>
          <w:rPr>
            <w:noProof/>
            <w:webHidden/>
          </w:rPr>
          <w:fldChar w:fldCharType="end"/>
        </w:r>
      </w:hyperlink>
    </w:p>
    <w:p w:rsidR="00563776" w:rsidRDefault="00563776" w14:paraId="7018CF3B" w14:textId="3C085708">
      <w:pPr>
        <w:pStyle w:val="Tabladeilustraciones"/>
        <w:tabs>
          <w:tab w:val="right" w:leader="dot" w:pos="9350"/>
        </w:tabs>
        <w:rPr>
          <w:rFonts w:asciiTheme="minorHAnsi" w:hAnsiTheme="minorHAnsi" w:eastAsiaTheme="minorEastAsia"/>
          <w:noProof/>
          <w:kern w:val="2"/>
          <w:sz w:val="24"/>
          <w:szCs w:val="24"/>
          <w:lang w:val="es-CO" w:eastAsia="es-CO"/>
          <w14:ligatures w14:val="standardContextual"/>
        </w:rPr>
      </w:pPr>
      <w:hyperlink w:history="1" w:anchor="_Toc216558754">
        <w:r w:rsidRPr="005C5DF5">
          <w:rPr>
            <w:rStyle w:val="Hipervnculo"/>
            <w:noProof/>
          </w:rPr>
          <w:t>Tabla 10 Títulos mineros en el departamento de Caquetá</w:t>
        </w:r>
        <w:r>
          <w:rPr>
            <w:noProof/>
            <w:webHidden/>
          </w:rPr>
          <w:tab/>
        </w:r>
        <w:r>
          <w:rPr>
            <w:noProof/>
            <w:webHidden/>
          </w:rPr>
          <w:fldChar w:fldCharType="begin"/>
        </w:r>
        <w:r>
          <w:rPr>
            <w:noProof/>
            <w:webHidden/>
          </w:rPr>
          <w:instrText xml:space="preserve"> PAGEREF _Toc216558754 \h </w:instrText>
        </w:r>
        <w:r>
          <w:rPr>
            <w:noProof/>
            <w:webHidden/>
          </w:rPr>
        </w:r>
        <w:r>
          <w:rPr>
            <w:noProof/>
            <w:webHidden/>
          </w:rPr>
          <w:fldChar w:fldCharType="separate"/>
        </w:r>
        <w:r w:rsidR="00EE79CE">
          <w:rPr>
            <w:noProof/>
            <w:webHidden/>
          </w:rPr>
          <w:t>54</w:t>
        </w:r>
        <w:r>
          <w:rPr>
            <w:noProof/>
            <w:webHidden/>
          </w:rPr>
          <w:fldChar w:fldCharType="end"/>
        </w:r>
      </w:hyperlink>
    </w:p>
    <w:p w:rsidR="00563776" w:rsidRDefault="00563776" w14:paraId="02D2FB95" w14:textId="3990D386">
      <w:pPr>
        <w:pStyle w:val="Tabladeilustraciones"/>
        <w:tabs>
          <w:tab w:val="right" w:leader="dot" w:pos="9350"/>
        </w:tabs>
        <w:rPr>
          <w:rFonts w:asciiTheme="minorHAnsi" w:hAnsiTheme="minorHAnsi" w:eastAsiaTheme="minorEastAsia"/>
          <w:noProof/>
          <w:kern w:val="2"/>
          <w:sz w:val="24"/>
          <w:szCs w:val="24"/>
          <w:lang w:val="es-CO" w:eastAsia="es-CO"/>
          <w14:ligatures w14:val="standardContextual"/>
        </w:rPr>
      </w:pPr>
      <w:hyperlink w:history="1" w:anchor="_Toc216558755">
        <w:r w:rsidRPr="005C5DF5">
          <w:rPr>
            <w:rStyle w:val="Hipervnculo"/>
            <w:noProof/>
          </w:rPr>
          <w:t>Tabla 11 Títulos mineros de material de arrastre</w:t>
        </w:r>
        <w:r>
          <w:rPr>
            <w:noProof/>
            <w:webHidden/>
          </w:rPr>
          <w:tab/>
        </w:r>
        <w:r>
          <w:rPr>
            <w:noProof/>
            <w:webHidden/>
          </w:rPr>
          <w:fldChar w:fldCharType="begin"/>
        </w:r>
        <w:r>
          <w:rPr>
            <w:noProof/>
            <w:webHidden/>
          </w:rPr>
          <w:instrText xml:space="preserve"> PAGEREF _Toc216558755 \h </w:instrText>
        </w:r>
        <w:r>
          <w:rPr>
            <w:noProof/>
            <w:webHidden/>
          </w:rPr>
        </w:r>
        <w:r>
          <w:rPr>
            <w:noProof/>
            <w:webHidden/>
          </w:rPr>
          <w:fldChar w:fldCharType="separate"/>
        </w:r>
        <w:r w:rsidR="00EE79CE">
          <w:rPr>
            <w:noProof/>
            <w:webHidden/>
          </w:rPr>
          <w:t>55</w:t>
        </w:r>
        <w:r>
          <w:rPr>
            <w:noProof/>
            <w:webHidden/>
          </w:rPr>
          <w:fldChar w:fldCharType="end"/>
        </w:r>
      </w:hyperlink>
    </w:p>
    <w:p w:rsidR="00563776" w:rsidRDefault="00563776" w14:paraId="730A266B" w14:textId="645267B6">
      <w:pPr>
        <w:pStyle w:val="Tabladeilustraciones"/>
        <w:tabs>
          <w:tab w:val="right" w:leader="dot" w:pos="9350"/>
        </w:tabs>
        <w:rPr>
          <w:rFonts w:asciiTheme="minorHAnsi" w:hAnsiTheme="minorHAnsi" w:eastAsiaTheme="minorEastAsia"/>
          <w:noProof/>
          <w:kern w:val="2"/>
          <w:sz w:val="24"/>
          <w:szCs w:val="24"/>
          <w:lang w:val="es-CO" w:eastAsia="es-CO"/>
          <w14:ligatures w14:val="standardContextual"/>
        </w:rPr>
      </w:pPr>
      <w:hyperlink w:history="1" w:anchor="_Toc216558756">
        <w:r w:rsidRPr="005C5DF5">
          <w:rPr>
            <w:rStyle w:val="Hipervnculo"/>
            <w:noProof/>
          </w:rPr>
          <w:t>Tabla 12 Tabla de funciones ecológicas por tipo de sedimento</w:t>
        </w:r>
        <w:r>
          <w:rPr>
            <w:noProof/>
            <w:webHidden/>
          </w:rPr>
          <w:tab/>
        </w:r>
        <w:r>
          <w:rPr>
            <w:noProof/>
            <w:webHidden/>
          </w:rPr>
          <w:fldChar w:fldCharType="begin"/>
        </w:r>
        <w:r>
          <w:rPr>
            <w:noProof/>
            <w:webHidden/>
          </w:rPr>
          <w:instrText xml:space="preserve"> PAGEREF _Toc216558756 \h </w:instrText>
        </w:r>
        <w:r>
          <w:rPr>
            <w:noProof/>
            <w:webHidden/>
          </w:rPr>
        </w:r>
        <w:r>
          <w:rPr>
            <w:noProof/>
            <w:webHidden/>
          </w:rPr>
          <w:fldChar w:fldCharType="separate"/>
        </w:r>
        <w:r w:rsidR="00EE79CE">
          <w:rPr>
            <w:noProof/>
            <w:webHidden/>
          </w:rPr>
          <w:t>60</w:t>
        </w:r>
        <w:r>
          <w:rPr>
            <w:noProof/>
            <w:webHidden/>
          </w:rPr>
          <w:fldChar w:fldCharType="end"/>
        </w:r>
      </w:hyperlink>
    </w:p>
    <w:p w:rsidR="00563776" w:rsidRDefault="00563776" w14:paraId="6770C5EA" w14:textId="6469C4A7">
      <w:pPr>
        <w:pStyle w:val="Tabladeilustraciones"/>
        <w:tabs>
          <w:tab w:val="right" w:leader="dot" w:pos="9350"/>
        </w:tabs>
        <w:rPr>
          <w:rFonts w:asciiTheme="minorHAnsi" w:hAnsiTheme="minorHAnsi" w:eastAsiaTheme="minorEastAsia"/>
          <w:noProof/>
          <w:kern w:val="2"/>
          <w:sz w:val="24"/>
          <w:szCs w:val="24"/>
          <w:lang w:val="es-CO" w:eastAsia="es-CO"/>
          <w14:ligatures w14:val="standardContextual"/>
        </w:rPr>
      </w:pPr>
      <w:hyperlink w:history="1" w:anchor="_Toc216558757">
        <w:r w:rsidRPr="005C5DF5">
          <w:rPr>
            <w:rStyle w:val="Hipervnculo"/>
            <w:noProof/>
          </w:rPr>
          <w:t>Tabla 13 Marco Normativo Ambiental Aplicable a (MMC) en la Amazonía Colombiana.</w:t>
        </w:r>
        <w:r>
          <w:rPr>
            <w:noProof/>
            <w:webHidden/>
          </w:rPr>
          <w:tab/>
        </w:r>
        <w:r>
          <w:rPr>
            <w:noProof/>
            <w:webHidden/>
          </w:rPr>
          <w:fldChar w:fldCharType="begin"/>
        </w:r>
        <w:r>
          <w:rPr>
            <w:noProof/>
            <w:webHidden/>
          </w:rPr>
          <w:instrText xml:space="preserve"> PAGEREF _Toc216558757 \h </w:instrText>
        </w:r>
        <w:r>
          <w:rPr>
            <w:noProof/>
            <w:webHidden/>
          </w:rPr>
        </w:r>
        <w:r>
          <w:rPr>
            <w:noProof/>
            <w:webHidden/>
          </w:rPr>
          <w:fldChar w:fldCharType="separate"/>
        </w:r>
        <w:r w:rsidR="00EE79CE">
          <w:rPr>
            <w:noProof/>
            <w:webHidden/>
          </w:rPr>
          <w:t>63</w:t>
        </w:r>
        <w:r>
          <w:rPr>
            <w:noProof/>
            <w:webHidden/>
          </w:rPr>
          <w:fldChar w:fldCharType="end"/>
        </w:r>
      </w:hyperlink>
    </w:p>
    <w:p w:rsidR="00563776" w:rsidRDefault="00563776" w14:paraId="6C659A44" w14:textId="42377600">
      <w:pPr>
        <w:pStyle w:val="Tabladeilustraciones"/>
        <w:tabs>
          <w:tab w:val="right" w:leader="dot" w:pos="9350"/>
        </w:tabs>
        <w:rPr>
          <w:rFonts w:asciiTheme="minorHAnsi" w:hAnsiTheme="minorHAnsi" w:eastAsiaTheme="minorEastAsia"/>
          <w:noProof/>
          <w:kern w:val="2"/>
          <w:sz w:val="24"/>
          <w:szCs w:val="24"/>
          <w:lang w:val="es-CO" w:eastAsia="es-CO"/>
          <w14:ligatures w14:val="standardContextual"/>
        </w:rPr>
      </w:pPr>
      <w:hyperlink w:history="1" w:anchor="_Toc216558758">
        <w:r w:rsidRPr="005C5DF5">
          <w:rPr>
            <w:rStyle w:val="Hipervnculo"/>
            <w:noProof/>
          </w:rPr>
          <w:t>Tabla 14 Matriz de impactos en la salud asociados a procesos de extracción de materiales de arrastre</w:t>
        </w:r>
        <w:r>
          <w:rPr>
            <w:noProof/>
            <w:webHidden/>
          </w:rPr>
          <w:tab/>
        </w:r>
        <w:r>
          <w:rPr>
            <w:noProof/>
            <w:webHidden/>
          </w:rPr>
          <w:fldChar w:fldCharType="begin"/>
        </w:r>
        <w:r>
          <w:rPr>
            <w:noProof/>
            <w:webHidden/>
          </w:rPr>
          <w:instrText xml:space="preserve"> PAGEREF _Toc216558758 \h </w:instrText>
        </w:r>
        <w:r>
          <w:rPr>
            <w:noProof/>
            <w:webHidden/>
          </w:rPr>
        </w:r>
        <w:r>
          <w:rPr>
            <w:noProof/>
            <w:webHidden/>
          </w:rPr>
          <w:fldChar w:fldCharType="separate"/>
        </w:r>
        <w:r w:rsidR="00EE79CE">
          <w:rPr>
            <w:noProof/>
            <w:webHidden/>
          </w:rPr>
          <w:t>84</w:t>
        </w:r>
        <w:r>
          <w:rPr>
            <w:noProof/>
            <w:webHidden/>
          </w:rPr>
          <w:fldChar w:fldCharType="end"/>
        </w:r>
      </w:hyperlink>
    </w:p>
    <w:p w:rsidRPr="00DD5AA1" w:rsidR="00DD5AA1" w:rsidP="001D62C0" w:rsidRDefault="00DD5AA1" w14:paraId="1818F841" w14:textId="10DC1100">
      <w:pPr>
        <w:spacing w:after="0" w:line="240" w:lineRule="auto"/>
        <w:rPr>
          <w:lang w:val="es-CO"/>
        </w:rPr>
      </w:pPr>
      <w:r>
        <w:rPr>
          <w:lang w:val="es-CO"/>
        </w:rPr>
        <w:fldChar w:fldCharType="end"/>
      </w:r>
    </w:p>
    <w:p w:rsidR="00DD5AA1" w:rsidP="53DEF7DD" w:rsidRDefault="00DD5AA1" w14:paraId="0CBA7811" w14:textId="3E3B360B">
      <w:pPr>
        <w:pStyle w:val="Normal"/>
        <w:jc w:val="center"/>
        <w:rPr>
          <w:b w:val="1"/>
          <w:bCs w:val="1"/>
          <w:color w:val="0070C0"/>
          <w:sz w:val="24"/>
          <w:szCs w:val="24"/>
          <w:lang w:val="es-CO"/>
        </w:rPr>
      </w:pPr>
      <w:bookmarkStart w:name="_Toc216558613" w:id="3"/>
      <w:r w:rsidRPr="53DEF7DD" w:rsidR="5BACBEB4">
        <w:rPr>
          <w:b w:val="1"/>
          <w:bCs w:val="1"/>
          <w:color w:val="0070C0"/>
          <w:lang w:val="es-CO"/>
        </w:rPr>
        <w:t>Índice de fotos</w:t>
      </w:r>
      <w:bookmarkEnd w:id="3"/>
    </w:p>
    <w:p w:rsidR="001D62C0" w:rsidP="001D62C0" w:rsidRDefault="001D62C0" w14:paraId="3D22D777" w14:textId="77777777">
      <w:pPr>
        <w:pStyle w:val="Tabladeilustraciones"/>
        <w:tabs>
          <w:tab w:val="right" w:leader="dot" w:pos="9350"/>
        </w:tabs>
        <w:spacing w:line="240" w:lineRule="auto"/>
        <w:rPr>
          <w:rFonts w:cs="Calibri"/>
          <w:b/>
          <w:bCs/>
          <w:sz w:val="24"/>
          <w:szCs w:val="24"/>
          <w:lang w:val="es-CO"/>
        </w:rPr>
      </w:pPr>
    </w:p>
    <w:p w:rsidR="001D62C0" w:rsidP="007D47D4" w:rsidRDefault="001D62C0" w14:paraId="2A8F8A1A" w14:textId="4EAC5C50">
      <w:pPr>
        <w:pStyle w:val="Tabladeilustraciones"/>
        <w:tabs>
          <w:tab w:val="right" w:leader="dot" w:pos="9350"/>
        </w:tabs>
        <w:spacing w:line="360" w:lineRule="auto"/>
        <w:rPr>
          <w:rFonts w:asciiTheme="minorHAnsi" w:hAnsiTheme="minorHAnsi" w:eastAsiaTheme="minorEastAsia"/>
          <w:noProof/>
          <w:kern w:val="2"/>
          <w:sz w:val="24"/>
          <w:szCs w:val="24"/>
          <w:lang w:val="es-CO" w:eastAsia="es-CO"/>
          <w14:ligatures w14:val="standardContextual"/>
        </w:rPr>
      </w:pPr>
      <w:r>
        <w:rPr>
          <w:rFonts w:cs="Calibri"/>
          <w:b/>
          <w:bCs/>
          <w:sz w:val="24"/>
          <w:szCs w:val="24"/>
          <w:lang w:val="es-CO"/>
        </w:rPr>
        <w:fldChar w:fldCharType="begin"/>
      </w:r>
      <w:r>
        <w:rPr>
          <w:rFonts w:cs="Calibri"/>
          <w:b/>
          <w:bCs/>
          <w:sz w:val="24"/>
          <w:szCs w:val="24"/>
          <w:lang w:val="es-CO"/>
        </w:rPr>
        <w:instrText xml:space="preserve"> TOC \h \z \c "Foto" </w:instrText>
      </w:r>
      <w:r>
        <w:rPr>
          <w:rFonts w:cs="Calibri"/>
          <w:b/>
          <w:bCs/>
          <w:sz w:val="24"/>
          <w:szCs w:val="24"/>
          <w:lang w:val="es-CO"/>
        </w:rPr>
        <w:fldChar w:fldCharType="separate"/>
      </w:r>
      <w:hyperlink w:history="1" w:anchor="_Toc216514430">
        <w:r w:rsidRPr="004C09D8">
          <w:rPr>
            <w:rStyle w:val="Hipervnculo"/>
            <w:noProof/>
          </w:rPr>
          <w:t>Foto 1 Extracción de material de arrastre en el lado del Brasil</w:t>
        </w:r>
        <w:r>
          <w:rPr>
            <w:noProof/>
            <w:webHidden/>
          </w:rPr>
          <w:tab/>
        </w:r>
        <w:r>
          <w:rPr>
            <w:noProof/>
            <w:webHidden/>
          </w:rPr>
          <w:fldChar w:fldCharType="begin"/>
        </w:r>
        <w:r>
          <w:rPr>
            <w:noProof/>
            <w:webHidden/>
          </w:rPr>
          <w:instrText xml:space="preserve"> PAGEREF _Toc216514430 \h </w:instrText>
        </w:r>
        <w:r>
          <w:rPr>
            <w:noProof/>
            <w:webHidden/>
          </w:rPr>
        </w:r>
        <w:r>
          <w:rPr>
            <w:noProof/>
            <w:webHidden/>
          </w:rPr>
          <w:fldChar w:fldCharType="separate"/>
        </w:r>
        <w:r w:rsidR="00EE79CE">
          <w:rPr>
            <w:noProof/>
            <w:webHidden/>
          </w:rPr>
          <w:t>44</w:t>
        </w:r>
        <w:r>
          <w:rPr>
            <w:noProof/>
            <w:webHidden/>
          </w:rPr>
          <w:fldChar w:fldCharType="end"/>
        </w:r>
      </w:hyperlink>
    </w:p>
    <w:p w:rsidR="001D62C0" w:rsidP="007D47D4" w:rsidRDefault="001D62C0" w14:paraId="5FB1D3B9" w14:textId="4F52C5E5">
      <w:pPr>
        <w:pStyle w:val="Tabladeilustraciones"/>
        <w:tabs>
          <w:tab w:val="right" w:leader="dot" w:pos="9350"/>
        </w:tabs>
        <w:spacing w:line="360" w:lineRule="auto"/>
        <w:rPr>
          <w:rFonts w:asciiTheme="minorHAnsi" w:hAnsiTheme="minorHAnsi" w:eastAsiaTheme="minorEastAsia"/>
          <w:noProof/>
          <w:kern w:val="2"/>
          <w:sz w:val="24"/>
          <w:szCs w:val="24"/>
          <w:lang w:val="es-CO" w:eastAsia="es-CO"/>
          <w14:ligatures w14:val="standardContextual"/>
        </w:rPr>
      </w:pPr>
      <w:hyperlink w:history="1" w:anchor="_Toc216514431">
        <w:r w:rsidRPr="004C09D8">
          <w:rPr>
            <w:rStyle w:val="Hipervnculo"/>
            <w:noProof/>
          </w:rPr>
          <w:t>Foto 2 Izq: Modelo del método de explotación continúo a lo largo de los playones.</w:t>
        </w:r>
        <w:r>
          <w:rPr>
            <w:noProof/>
            <w:webHidden/>
          </w:rPr>
          <w:tab/>
        </w:r>
        <w:r>
          <w:rPr>
            <w:noProof/>
            <w:webHidden/>
          </w:rPr>
          <w:fldChar w:fldCharType="begin"/>
        </w:r>
        <w:r>
          <w:rPr>
            <w:noProof/>
            <w:webHidden/>
          </w:rPr>
          <w:instrText xml:space="preserve"> PAGEREF _Toc216514431 \h </w:instrText>
        </w:r>
        <w:r>
          <w:rPr>
            <w:noProof/>
            <w:webHidden/>
          </w:rPr>
        </w:r>
        <w:r>
          <w:rPr>
            <w:noProof/>
            <w:webHidden/>
          </w:rPr>
          <w:fldChar w:fldCharType="separate"/>
        </w:r>
        <w:r w:rsidR="00EE79CE">
          <w:rPr>
            <w:noProof/>
            <w:webHidden/>
          </w:rPr>
          <w:t>53</w:t>
        </w:r>
        <w:r>
          <w:rPr>
            <w:noProof/>
            <w:webHidden/>
          </w:rPr>
          <w:fldChar w:fldCharType="end"/>
        </w:r>
      </w:hyperlink>
    </w:p>
    <w:p w:rsidR="00DD5AA1" w:rsidP="001D62C0" w:rsidRDefault="001D62C0" w14:paraId="2A9F8C1A" w14:textId="44143699">
      <w:pPr>
        <w:spacing w:after="0" w:line="240" w:lineRule="auto"/>
        <w:jc w:val="both"/>
        <w:rPr>
          <w:rFonts w:cs="Calibri"/>
          <w:b w:val="1"/>
          <w:bCs w:val="1"/>
          <w:sz w:val="24"/>
          <w:szCs w:val="24"/>
          <w:lang w:val="es-CO"/>
        </w:rPr>
      </w:pPr>
    </w:p>
    <w:p w:rsidR="00527B8C" w:rsidP="001D62C0" w:rsidRDefault="00527B8C" w14:paraId="2DAAA019" w14:textId="5A728B4D">
      <w:pPr>
        <w:spacing w:after="0" w:line="240" w:lineRule="auto"/>
        <w:jc w:val="both"/>
        <w:rPr>
          <w:rFonts w:cs="Calibri"/>
          <w:b w:val="1"/>
          <w:bCs w:val="1"/>
          <w:sz w:val="24"/>
          <w:szCs w:val="24"/>
          <w:lang w:val="es-CO"/>
        </w:rPr>
      </w:pPr>
      <w:r w:rsidRPr="53DEF7DD">
        <w:rPr>
          <w:rFonts w:cs="Calibri"/>
          <w:b w:val="1"/>
          <w:bCs w:val="1"/>
          <w:sz w:val="24"/>
          <w:szCs w:val="24"/>
          <w:lang w:val="es-CO"/>
        </w:rPr>
        <w:fldChar w:fldCharType="end"/>
      </w:r>
    </w:p>
    <w:p w:rsidR="00DD5AA1" w:rsidP="53DEF7DD" w:rsidRDefault="00DD5AA1" w14:paraId="5EBAD6F3" w14:textId="5E65CC3A">
      <w:pPr>
        <w:pStyle w:val="Normal"/>
        <w:jc w:val="center"/>
        <w:rPr>
          <w:b w:val="1"/>
          <w:bCs w:val="1"/>
          <w:color w:val="0070C0"/>
          <w:sz w:val="24"/>
          <w:szCs w:val="24"/>
          <w:lang w:val="es-CO"/>
        </w:rPr>
      </w:pPr>
      <w:bookmarkStart w:name="_Toc216558614" w:id="4"/>
      <w:r w:rsidRPr="53DEF7DD" w:rsidR="5BACBEB4">
        <w:rPr>
          <w:b w:val="1"/>
          <w:bCs w:val="1"/>
          <w:color w:val="0070C0"/>
          <w:sz w:val="24"/>
          <w:szCs w:val="24"/>
          <w:lang w:val="es-CO"/>
        </w:rPr>
        <w:t>Índice de gráficos</w:t>
      </w:r>
      <w:bookmarkEnd w:id="4"/>
    </w:p>
    <w:p w:rsidR="001D62C0" w:rsidP="007D47D4" w:rsidRDefault="001D62C0" w14:paraId="5C920DEF" w14:textId="5BF47A13">
      <w:pPr>
        <w:pStyle w:val="Tabladeilustraciones"/>
        <w:tabs>
          <w:tab w:val="right" w:leader="dot" w:pos="9350"/>
        </w:tabs>
        <w:spacing w:line="360" w:lineRule="auto"/>
        <w:rPr>
          <w:rFonts w:asciiTheme="minorHAnsi" w:hAnsiTheme="minorHAnsi" w:eastAsiaTheme="minorEastAsia"/>
          <w:noProof/>
          <w:kern w:val="2"/>
          <w:sz w:val="24"/>
          <w:szCs w:val="24"/>
          <w:lang w:val="es-CO" w:eastAsia="es-CO"/>
          <w14:ligatures w14:val="standardContextual"/>
        </w:rPr>
      </w:pPr>
      <w:r>
        <w:rPr>
          <w:lang w:val="es-CO"/>
        </w:rPr>
        <w:fldChar w:fldCharType="begin"/>
      </w:r>
      <w:r>
        <w:rPr>
          <w:lang w:val="es-CO"/>
        </w:rPr>
        <w:instrText xml:space="preserve"> TOC \h \z \c "Gráfico" </w:instrText>
      </w:r>
      <w:r>
        <w:rPr>
          <w:lang w:val="es-CO"/>
        </w:rPr>
        <w:fldChar w:fldCharType="separate"/>
      </w:r>
      <w:hyperlink w:history="1" w:anchor="_Toc216514445">
        <w:r w:rsidRPr="00C645EB">
          <w:rPr>
            <w:rStyle w:val="Hipervnculo"/>
            <w:noProof/>
          </w:rPr>
          <w:t>Gráfico 1 Porcentaje de títulos mineros en la Amazonía</w:t>
        </w:r>
        <w:r>
          <w:rPr>
            <w:noProof/>
            <w:webHidden/>
          </w:rPr>
          <w:tab/>
        </w:r>
        <w:r>
          <w:rPr>
            <w:noProof/>
            <w:webHidden/>
          </w:rPr>
          <w:fldChar w:fldCharType="begin"/>
        </w:r>
        <w:r>
          <w:rPr>
            <w:noProof/>
            <w:webHidden/>
          </w:rPr>
          <w:instrText xml:space="preserve"> PAGEREF _Toc216514445 \h </w:instrText>
        </w:r>
        <w:r>
          <w:rPr>
            <w:noProof/>
            <w:webHidden/>
          </w:rPr>
        </w:r>
        <w:r>
          <w:rPr>
            <w:noProof/>
            <w:webHidden/>
          </w:rPr>
          <w:fldChar w:fldCharType="separate"/>
        </w:r>
        <w:r w:rsidR="00EE79CE">
          <w:rPr>
            <w:noProof/>
            <w:webHidden/>
          </w:rPr>
          <w:t>56</w:t>
        </w:r>
        <w:r>
          <w:rPr>
            <w:noProof/>
            <w:webHidden/>
          </w:rPr>
          <w:fldChar w:fldCharType="end"/>
        </w:r>
      </w:hyperlink>
    </w:p>
    <w:p w:rsidR="001D62C0" w:rsidP="007D47D4" w:rsidRDefault="001D62C0" w14:paraId="6A2D763E" w14:textId="7D03AB09">
      <w:pPr>
        <w:pStyle w:val="Tabladeilustraciones"/>
        <w:tabs>
          <w:tab w:val="right" w:leader="dot" w:pos="9350"/>
        </w:tabs>
        <w:spacing w:line="360" w:lineRule="auto"/>
        <w:rPr>
          <w:rFonts w:asciiTheme="minorHAnsi" w:hAnsiTheme="minorHAnsi" w:eastAsiaTheme="minorEastAsia"/>
          <w:noProof/>
          <w:kern w:val="2"/>
          <w:sz w:val="24"/>
          <w:szCs w:val="24"/>
          <w:lang w:val="es-CO" w:eastAsia="es-CO"/>
          <w14:ligatures w14:val="standardContextual"/>
        </w:rPr>
      </w:pPr>
      <w:hyperlink w:history="1" w:anchor="_Toc216514446">
        <w:r w:rsidRPr="00C645EB">
          <w:rPr>
            <w:rStyle w:val="Hipervnculo"/>
            <w:noProof/>
          </w:rPr>
          <w:t>Gráfico 2 Perfil del lecho amazónico y distribución de hábitats.</w:t>
        </w:r>
        <w:r>
          <w:rPr>
            <w:noProof/>
            <w:webHidden/>
          </w:rPr>
          <w:tab/>
        </w:r>
        <w:r>
          <w:rPr>
            <w:noProof/>
            <w:webHidden/>
          </w:rPr>
          <w:fldChar w:fldCharType="begin"/>
        </w:r>
        <w:r>
          <w:rPr>
            <w:noProof/>
            <w:webHidden/>
          </w:rPr>
          <w:instrText xml:space="preserve"> PAGEREF _Toc216514446 \h </w:instrText>
        </w:r>
        <w:r>
          <w:rPr>
            <w:noProof/>
            <w:webHidden/>
          </w:rPr>
        </w:r>
        <w:r>
          <w:rPr>
            <w:noProof/>
            <w:webHidden/>
          </w:rPr>
          <w:fldChar w:fldCharType="separate"/>
        </w:r>
        <w:r w:rsidR="00EE79CE">
          <w:rPr>
            <w:noProof/>
            <w:webHidden/>
          </w:rPr>
          <w:t>60</w:t>
        </w:r>
        <w:r>
          <w:rPr>
            <w:noProof/>
            <w:webHidden/>
          </w:rPr>
          <w:fldChar w:fldCharType="end"/>
        </w:r>
      </w:hyperlink>
    </w:p>
    <w:p w:rsidR="001D62C0" w:rsidP="007D47D4" w:rsidRDefault="001D62C0" w14:paraId="6D1E225B" w14:textId="00B76236">
      <w:pPr>
        <w:pStyle w:val="Tabladeilustraciones"/>
        <w:tabs>
          <w:tab w:val="right" w:leader="dot" w:pos="9350"/>
        </w:tabs>
        <w:spacing w:line="360" w:lineRule="auto"/>
        <w:rPr>
          <w:rFonts w:asciiTheme="minorHAnsi" w:hAnsiTheme="minorHAnsi" w:eastAsiaTheme="minorEastAsia"/>
          <w:noProof/>
          <w:kern w:val="2"/>
          <w:sz w:val="24"/>
          <w:szCs w:val="24"/>
          <w:lang w:val="es-CO" w:eastAsia="es-CO"/>
          <w14:ligatures w14:val="standardContextual"/>
        </w:rPr>
      </w:pPr>
      <w:hyperlink w:history="1" w:anchor="_Toc216514447">
        <w:r w:rsidRPr="00C645EB">
          <w:rPr>
            <w:rStyle w:val="Hipervnculo"/>
            <w:noProof/>
          </w:rPr>
          <w:t>Gráfico 3 Mapa conceptual de conectividad fluvial amazónica.</w:t>
        </w:r>
        <w:r>
          <w:rPr>
            <w:noProof/>
            <w:webHidden/>
          </w:rPr>
          <w:tab/>
        </w:r>
        <w:r>
          <w:rPr>
            <w:noProof/>
            <w:webHidden/>
          </w:rPr>
          <w:fldChar w:fldCharType="begin"/>
        </w:r>
        <w:r>
          <w:rPr>
            <w:noProof/>
            <w:webHidden/>
          </w:rPr>
          <w:instrText xml:space="preserve"> PAGEREF _Toc216514447 \h </w:instrText>
        </w:r>
        <w:r>
          <w:rPr>
            <w:noProof/>
            <w:webHidden/>
          </w:rPr>
        </w:r>
        <w:r>
          <w:rPr>
            <w:noProof/>
            <w:webHidden/>
          </w:rPr>
          <w:fldChar w:fldCharType="separate"/>
        </w:r>
        <w:r w:rsidR="00EE79CE">
          <w:rPr>
            <w:noProof/>
            <w:webHidden/>
          </w:rPr>
          <w:t>61</w:t>
        </w:r>
        <w:r>
          <w:rPr>
            <w:noProof/>
            <w:webHidden/>
          </w:rPr>
          <w:fldChar w:fldCharType="end"/>
        </w:r>
      </w:hyperlink>
    </w:p>
    <w:p w:rsidR="001D62C0" w:rsidP="007D47D4" w:rsidRDefault="001D62C0" w14:paraId="3818E43C" w14:textId="184A0494">
      <w:pPr>
        <w:pStyle w:val="Tabladeilustraciones"/>
        <w:tabs>
          <w:tab w:val="right" w:leader="dot" w:pos="9350"/>
        </w:tabs>
        <w:spacing w:line="360" w:lineRule="auto"/>
        <w:rPr>
          <w:rFonts w:asciiTheme="minorHAnsi" w:hAnsiTheme="minorHAnsi" w:eastAsiaTheme="minorEastAsia"/>
          <w:noProof/>
          <w:kern w:val="2"/>
          <w:sz w:val="24"/>
          <w:szCs w:val="24"/>
          <w:lang w:val="es-CO" w:eastAsia="es-CO"/>
          <w14:ligatures w14:val="standardContextual"/>
        </w:rPr>
      </w:pPr>
      <w:hyperlink w:history="1" w:anchor="_Toc216514448">
        <w:r w:rsidRPr="00C645EB">
          <w:rPr>
            <w:rStyle w:val="Hipervnculo"/>
            <w:noProof/>
          </w:rPr>
          <w:t>Gráfico 4 ciclo de nutrientes en el lecho amazónico.</w:t>
        </w:r>
        <w:r>
          <w:rPr>
            <w:noProof/>
            <w:webHidden/>
          </w:rPr>
          <w:tab/>
        </w:r>
        <w:r>
          <w:rPr>
            <w:noProof/>
            <w:webHidden/>
          </w:rPr>
          <w:fldChar w:fldCharType="begin"/>
        </w:r>
        <w:r>
          <w:rPr>
            <w:noProof/>
            <w:webHidden/>
          </w:rPr>
          <w:instrText xml:space="preserve"> PAGEREF _Toc216514448 \h </w:instrText>
        </w:r>
        <w:r>
          <w:rPr>
            <w:noProof/>
            <w:webHidden/>
          </w:rPr>
        </w:r>
        <w:r>
          <w:rPr>
            <w:noProof/>
            <w:webHidden/>
          </w:rPr>
          <w:fldChar w:fldCharType="separate"/>
        </w:r>
        <w:r w:rsidR="00EE79CE">
          <w:rPr>
            <w:noProof/>
            <w:webHidden/>
          </w:rPr>
          <w:t>61</w:t>
        </w:r>
        <w:r>
          <w:rPr>
            <w:noProof/>
            <w:webHidden/>
          </w:rPr>
          <w:fldChar w:fldCharType="end"/>
        </w:r>
      </w:hyperlink>
    </w:p>
    <w:p w:rsidR="001D62C0" w:rsidP="007D47D4" w:rsidRDefault="001D62C0" w14:paraId="2DF8B048" w14:textId="56BBF2D2">
      <w:pPr>
        <w:pStyle w:val="Tabladeilustraciones"/>
        <w:tabs>
          <w:tab w:val="right" w:leader="dot" w:pos="9350"/>
        </w:tabs>
        <w:spacing w:line="360" w:lineRule="auto"/>
        <w:rPr>
          <w:rFonts w:asciiTheme="minorHAnsi" w:hAnsiTheme="minorHAnsi" w:eastAsiaTheme="minorEastAsia"/>
          <w:noProof/>
          <w:kern w:val="2"/>
          <w:sz w:val="24"/>
          <w:szCs w:val="24"/>
          <w:lang w:val="es-CO" w:eastAsia="es-CO"/>
          <w14:ligatures w14:val="standardContextual"/>
        </w:rPr>
      </w:pPr>
      <w:hyperlink w:history="1" w:anchor="_Toc216514449">
        <w:r w:rsidRPr="00C645EB">
          <w:rPr>
            <w:rStyle w:val="Hipervnculo"/>
            <w:noProof/>
          </w:rPr>
          <w:t>Gráfico 5 Perfil de transporte sedimentario desde los Andes hacia la Amazonía.</w:t>
        </w:r>
        <w:r>
          <w:rPr>
            <w:noProof/>
            <w:webHidden/>
          </w:rPr>
          <w:tab/>
        </w:r>
        <w:r>
          <w:rPr>
            <w:noProof/>
            <w:webHidden/>
          </w:rPr>
          <w:fldChar w:fldCharType="begin"/>
        </w:r>
        <w:r>
          <w:rPr>
            <w:noProof/>
            <w:webHidden/>
          </w:rPr>
          <w:instrText xml:space="preserve"> PAGEREF _Toc216514449 \h </w:instrText>
        </w:r>
        <w:r>
          <w:rPr>
            <w:noProof/>
            <w:webHidden/>
          </w:rPr>
        </w:r>
        <w:r>
          <w:rPr>
            <w:noProof/>
            <w:webHidden/>
          </w:rPr>
          <w:fldChar w:fldCharType="separate"/>
        </w:r>
        <w:r w:rsidR="00EE79CE">
          <w:rPr>
            <w:noProof/>
            <w:webHidden/>
          </w:rPr>
          <w:t>62</w:t>
        </w:r>
        <w:r>
          <w:rPr>
            <w:noProof/>
            <w:webHidden/>
          </w:rPr>
          <w:fldChar w:fldCharType="end"/>
        </w:r>
      </w:hyperlink>
    </w:p>
    <w:p w:rsidR="001D62C0" w:rsidP="007D47D4" w:rsidRDefault="001D62C0" w14:paraId="388F95DF" w14:textId="788124EC">
      <w:pPr>
        <w:pStyle w:val="Tabladeilustraciones"/>
        <w:tabs>
          <w:tab w:val="right" w:leader="dot" w:pos="9350"/>
        </w:tabs>
        <w:spacing w:line="360" w:lineRule="auto"/>
        <w:rPr>
          <w:rFonts w:asciiTheme="minorHAnsi" w:hAnsiTheme="minorHAnsi" w:eastAsiaTheme="minorEastAsia"/>
          <w:noProof/>
          <w:kern w:val="2"/>
          <w:sz w:val="24"/>
          <w:szCs w:val="24"/>
          <w:lang w:val="es-CO" w:eastAsia="es-CO"/>
          <w14:ligatures w14:val="standardContextual"/>
        </w:rPr>
      </w:pPr>
      <w:hyperlink w:history="1" w:anchor="_Toc216514450">
        <w:r w:rsidRPr="00C645EB">
          <w:rPr>
            <w:rStyle w:val="Hipervnculo"/>
            <w:noProof/>
          </w:rPr>
          <w:t>Gráfico 6 Mapa conceptual: Riesgos por alteración del régimen sedimentario</w:t>
        </w:r>
        <w:r>
          <w:rPr>
            <w:noProof/>
            <w:webHidden/>
          </w:rPr>
          <w:tab/>
        </w:r>
        <w:r>
          <w:rPr>
            <w:noProof/>
            <w:webHidden/>
          </w:rPr>
          <w:fldChar w:fldCharType="begin"/>
        </w:r>
        <w:r>
          <w:rPr>
            <w:noProof/>
            <w:webHidden/>
          </w:rPr>
          <w:instrText xml:space="preserve"> PAGEREF _Toc216514450 \h </w:instrText>
        </w:r>
        <w:r>
          <w:rPr>
            <w:noProof/>
            <w:webHidden/>
          </w:rPr>
        </w:r>
        <w:r>
          <w:rPr>
            <w:noProof/>
            <w:webHidden/>
          </w:rPr>
          <w:fldChar w:fldCharType="separate"/>
        </w:r>
        <w:r w:rsidR="00EE79CE">
          <w:rPr>
            <w:noProof/>
            <w:webHidden/>
          </w:rPr>
          <w:t>70</w:t>
        </w:r>
        <w:r>
          <w:rPr>
            <w:noProof/>
            <w:webHidden/>
          </w:rPr>
          <w:fldChar w:fldCharType="end"/>
        </w:r>
      </w:hyperlink>
    </w:p>
    <w:p w:rsidR="001D62C0" w:rsidP="007D47D4" w:rsidRDefault="001D62C0" w14:paraId="77754C13" w14:textId="7AF43112">
      <w:pPr>
        <w:pStyle w:val="Tabladeilustraciones"/>
        <w:tabs>
          <w:tab w:val="right" w:leader="dot" w:pos="9350"/>
        </w:tabs>
        <w:spacing w:line="360" w:lineRule="auto"/>
        <w:rPr>
          <w:rFonts w:asciiTheme="minorHAnsi" w:hAnsiTheme="minorHAnsi" w:eastAsiaTheme="minorEastAsia"/>
          <w:noProof/>
          <w:kern w:val="2"/>
          <w:sz w:val="24"/>
          <w:szCs w:val="24"/>
          <w:lang w:val="es-CO" w:eastAsia="es-CO"/>
          <w14:ligatures w14:val="standardContextual"/>
        </w:rPr>
      </w:pPr>
      <w:hyperlink w:history="1" w:anchor="_Toc216514451">
        <w:r w:rsidRPr="00C645EB">
          <w:rPr>
            <w:rStyle w:val="Hipervnculo"/>
            <w:noProof/>
          </w:rPr>
          <w:t>Gráfico 7 Diagrama de procesos de alteración del régimen sedimentario.</w:t>
        </w:r>
        <w:r>
          <w:rPr>
            <w:noProof/>
            <w:webHidden/>
          </w:rPr>
          <w:tab/>
        </w:r>
        <w:r>
          <w:rPr>
            <w:noProof/>
            <w:webHidden/>
          </w:rPr>
          <w:fldChar w:fldCharType="begin"/>
        </w:r>
        <w:r>
          <w:rPr>
            <w:noProof/>
            <w:webHidden/>
          </w:rPr>
          <w:instrText xml:space="preserve"> PAGEREF _Toc216514451 \h </w:instrText>
        </w:r>
        <w:r>
          <w:rPr>
            <w:noProof/>
            <w:webHidden/>
          </w:rPr>
        </w:r>
        <w:r>
          <w:rPr>
            <w:noProof/>
            <w:webHidden/>
          </w:rPr>
          <w:fldChar w:fldCharType="separate"/>
        </w:r>
        <w:r w:rsidR="00EE79CE">
          <w:rPr>
            <w:noProof/>
            <w:webHidden/>
          </w:rPr>
          <w:t>70</w:t>
        </w:r>
        <w:r>
          <w:rPr>
            <w:noProof/>
            <w:webHidden/>
          </w:rPr>
          <w:fldChar w:fldCharType="end"/>
        </w:r>
      </w:hyperlink>
    </w:p>
    <w:p w:rsidRPr="00DD5AA1" w:rsidR="00DD5AA1" w:rsidP="007D47D4" w:rsidRDefault="001D62C0" w14:paraId="20948CF6" w14:textId="69F45A5A">
      <w:pPr>
        <w:spacing w:after="0" w:line="360" w:lineRule="auto"/>
        <w:rPr>
          <w:lang w:val="es-CO"/>
        </w:rPr>
      </w:pPr>
    </w:p>
    <w:p w:rsidR="544B9055" w:rsidP="544B9055" w:rsidRDefault="544B9055" w14:paraId="1226188B" w14:textId="1030A031">
      <w:pPr>
        <w:spacing w:after="0" w:line="360" w:lineRule="auto"/>
        <w:rPr>
          <w:lang w:val="es-CO"/>
        </w:rPr>
      </w:pPr>
    </w:p>
    <w:p w:rsidR="544B9055" w:rsidP="544B9055" w:rsidRDefault="544B9055" w14:paraId="359F7C0F" w14:textId="25A802A3">
      <w:pPr>
        <w:spacing w:after="0" w:line="360" w:lineRule="auto"/>
        <w:rPr>
          <w:lang w:val="es-CO"/>
        </w:rPr>
      </w:pPr>
      <w:r w:rsidRPr="544B9055">
        <w:rPr>
          <w:lang w:val="es-CO"/>
        </w:rPr>
        <w:fldChar w:fldCharType="end"/>
      </w:r>
    </w:p>
    <w:p w:rsidR="00527B8C" w:rsidRDefault="00212A57" w14:paraId="20A920EA" w14:textId="77777777">
      <w:pPr>
        <w:pStyle w:val="Ttulo1"/>
        <w:spacing w:before="0" w:line="360" w:lineRule="auto"/>
        <w:jc w:val="center"/>
        <w:rPr>
          <w:rFonts w:ascii="Calibri" w:hAnsi="Calibri" w:eastAsia="Calibri" w:cs="Calibri"/>
          <w:sz w:val="24"/>
          <w:szCs w:val="24"/>
          <w:lang w:val="es-CO"/>
        </w:rPr>
      </w:pPr>
      <w:bookmarkStart w:name="_Toc193181283" w:id="281717735"/>
      <w:r w:rsidRPr="53DEF7DD" w:rsidR="670101B5">
        <w:rPr>
          <w:rFonts w:ascii="Calibri" w:hAnsi="Calibri" w:eastAsia="Calibri" w:cs="Calibri"/>
          <w:sz w:val="24"/>
          <w:szCs w:val="24"/>
          <w:lang w:val="es-CO"/>
        </w:rPr>
        <w:t>1. Introducción</w:t>
      </w:r>
      <w:bookmarkEnd w:id="281717735"/>
    </w:p>
    <w:p w:rsidR="00527B8C" w:rsidRDefault="00527B8C" w14:paraId="13606336" w14:textId="77777777">
      <w:pPr>
        <w:spacing w:after="0" w:line="360" w:lineRule="auto"/>
        <w:jc w:val="both"/>
        <w:rPr>
          <w:rFonts w:cs="Calibri"/>
          <w:sz w:val="24"/>
          <w:szCs w:val="24"/>
          <w:lang w:val="es-CO"/>
        </w:rPr>
      </w:pPr>
    </w:p>
    <w:p w:rsidR="00527B8C" w:rsidRDefault="00212A57" w14:paraId="73CADCEA" w14:textId="77777777">
      <w:pPr>
        <w:spacing w:after="0" w:line="360" w:lineRule="auto"/>
        <w:ind w:firstLine="302" w:firstLineChars="126"/>
        <w:jc w:val="both"/>
        <w:rPr>
          <w:rFonts w:cs="Calibri"/>
          <w:sz w:val="24"/>
          <w:szCs w:val="24"/>
          <w:lang w:val="es-CO"/>
        </w:rPr>
      </w:pPr>
      <w:r w:rsidRPr="53DEF7DD" w:rsidR="670101B5">
        <w:rPr>
          <w:rFonts w:cs="Calibri"/>
          <w:sz w:val="24"/>
          <w:szCs w:val="24"/>
          <w:lang w:val="es-CO"/>
        </w:rPr>
        <w:t>El presente documento describe el estado actual de la minería de materiales de construcción en Colombia, con énfasis en la región amazónica. Se aborda el contexto nacional, el marco normativo, los impactos ambientales y sociales, la situación específica de la Amazonía y se proponen recomendaciones estratégicas para una gestión sostenible. El período de referencia principal es 2004-2025.</w:t>
      </w:r>
    </w:p>
    <w:p w:rsidR="53DEF7DD" w:rsidP="53DEF7DD" w:rsidRDefault="53DEF7DD" w14:paraId="64FB74C3" w14:textId="4B8F1B3B">
      <w:pPr>
        <w:spacing w:after="0" w:line="360" w:lineRule="auto"/>
        <w:ind w:firstLine="302" w:firstLineChars="126"/>
        <w:jc w:val="both"/>
        <w:rPr>
          <w:rFonts w:cs="Calibri"/>
          <w:sz w:val="24"/>
          <w:szCs w:val="24"/>
          <w:lang w:val="es-CO"/>
        </w:rPr>
      </w:pPr>
    </w:p>
    <w:p w:rsidR="00527B8C" w:rsidRDefault="00212A57" w14:paraId="4889F617" w14:textId="77777777">
      <w:pPr>
        <w:spacing w:after="0" w:line="360" w:lineRule="auto"/>
        <w:ind w:firstLine="302" w:firstLineChars="126"/>
        <w:jc w:val="both"/>
        <w:rPr>
          <w:rFonts w:cs="Calibri"/>
          <w:sz w:val="24"/>
          <w:szCs w:val="24"/>
          <w:lang w:val="es-CO"/>
        </w:rPr>
      </w:pPr>
      <w:r>
        <w:rPr>
          <w:rFonts w:cs="Calibri"/>
          <w:sz w:val="24"/>
          <w:szCs w:val="24"/>
          <w:lang w:val="es-CO"/>
        </w:rPr>
        <w:t>A nivel nacional, la minería de materiales de construcción abastece la demanda de arenas, grava, recebo y arcillas para obras civiles y edificaciones. En la Amazonía, aunque la extracción legal es limitada, la expansión por la minería ilegal y proyectos de infraestructura genera amenazas significativas para la conectividad fluvial y la biodiversidad. Las cuencas de los ríos Caquetá y Putumayo, hacen parte de las zonas críticas y de especial vulnerabilidad.</w:t>
      </w:r>
    </w:p>
    <w:p w:rsidR="00527B8C" w:rsidRDefault="00527B8C" w14:paraId="6FB2BE93" w14:textId="77777777">
      <w:pPr>
        <w:spacing w:after="0" w:line="360" w:lineRule="auto"/>
        <w:ind w:firstLine="302" w:firstLineChars="126"/>
        <w:jc w:val="both"/>
        <w:rPr>
          <w:rFonts w:cs="Calibri"/>
          <w:sz w:val="24"/>
          <w:szCs w:val="24"/>
          <w:lang w:val="es-CO"/>
        </w:rPr>
      </w:pPr>
    </w:p>
    <w:p w:rsidR="00527B8C" w:rsidRDefault="00212A57" w14:paraId="3745EEA9" w14:textId="77777777">
      <w:pPr>
        <w:spacing w:after="0" w:line="360" w:lineRule="auto"/>
        <w:ind w:firstLine="302" w:firstLineChars="126"/>
        <w:jc w:val="both"/>
        <w:rPr>
          <w:rFonts w:cs="Calibri"/>
          <w:sz w:val="24"/>
          <w:szCs w:val="24"/>
          <w:lang w:val="es-CO"/>
        </w:rPr>
      </w:pPr>
      <w:r>
        <w:rPr>
          <w:rFonts w:cs="Calibri"/>
          <w:sz w:val="24"/>
          <w:szCs w:val="24"/>
          <w:lang w:val="es-CO"/>
        </w:rPr>
        <w:t>La Ley 685 de 2001 (Código de Minas) regula la explotación de materiales de construcción, incluyendo los materiales de arrastre. Complementan esta normativa el Decreto 1073 de 2015 y las disposiciones ambientales de la Ley 99 de 1993. En áreas amazónicas, se aplican restricciones adicionales por la presencia de Parques Nacionales y zonas Ramsar.</w:t>
      </w:r>
    </w:p>
    <w:p w:rsidR="00527B8C" w:rsidRDefault="00527B8C" w14:paraId="10E19A8C" w14:textId="77777777">
      <w:pPr>
        <w:spacing w:after="0" w:line="360" w:lineRule="auto"/>
        <w:ind w:firstLine="302" w:firstLineChars="126"/>
        <w:jc w:val="both"/>
        <w:rPr>
          <w:rFonts w:cs="Calibri"/>
          <w:sz w:val="24"/>
          <w:szCs w:val="24"/>
          <w:lang w:val="es-CO"/>
        </w:rPr>
      </w:pPr>
    </w:p>
    <w:p w:rsidR="00527B8C" w:rsidRDefault="00212A57" w14:paraId="39F29579" w14:textId="77777777">
      <w:pPr>
        <w:spacing w:after="0" w:line="360" w:lineRule="auto"/>
        <w:ind w:firstLine="302" w:firstLineChars="126"/>
        <w:jc w:val="both"/>
        <w:rPr>
          <w:rFonts w:cs="Calibri"/>
          <w:sz w:val="24"/>
          <w:szCs w:val="24"/>
          <w:lang w:val="es-CO"/>
        </w:rPr>
      </w:pPr>
      <w:r>
        <w:rPr>
          <w:rFonts w:cs="Calibri"/>
          <w:sz w:val="24"/>
          <w:szCs w:val="24"/>
          <w:lang w:val="es-CO"/>
        </w:rPr>
        <w:t>Los principales impactos incluyen la alteración del régimen sedimentario, el socavamiento de las orillas de los ríos, en especial cuando la extracción es con maquinaría amarilla, conllevando a perder estabilidad en las comunidades rivereñas, sumado a la pérdida de hábitats acuáticos, la deforestación ribereña y la contaminación por sedimentos. Socialmente, se observan afectaciones a comunidades etnias y pérdida progresiva de servicios ecosistémicos esenciales.</w:t>
      </w:r>
    </w:p>
    <w:p w:rsidR="00527B8C" w:rsidRDefault="00527B8C" w14:paraId="2A5D07AB" w14:textId="77777777">
      <w:pPr>
        <w:spacing w:after="0" w:line="360" w:lineRule="auto"/>
        <w:jc w:val="both"/>
        <w:rPr>
          <w:rFonts w:cs="Calibri"/>
          <w:sz w:val="24"/>
          <w:szCs w:val="24"/>
          <w:lang w:val="es-CO"/>
        </w:rPr>
      </w:pPr>
    </w:p>
    <w:p w:rsidR="00527B8C" w:rsidRDefault="00527B8C" w14:paraId="4DFBF440" w14:textId="77777777">
      <w:pPr>
        <w:spacing w:after="0" w:line="360" w:lineRule="auto"/>
        <w:jc w:val="both"/>
        <w:rPr>
          <w:rFonts w:cs="Calibri"/>
          <w:sz w:val="24"/>
          <w:szCs w:val="24"/>
          <w:lang w:val="es-CO"/>
        </w:rPr>
      </w:pPr>
    </w:p>
    <w:p w:rsidR="00527B8C" w:rsidRDefault="00527B8C" w14:paraId="55D61FE1" w14:textId="77777777">
      <w:pPr>
        <w:spacing w:after="0" w:line="360" w:lineRule="auto"/>
        <w:jc w:val="both"/>
        <w:rPr>
          <w:rFonts w:cs="Calibri"/>
          <w:sz w:val="24"/>
          <w:szCs w:val="24"/>
          <w:lang w:val="es-CO"/>
        </w:rPr>
      </w:pPr>
    </w:p>
    <w:p w:rsidR="00527B8C" w:rsidRDefault="00527B8C" w14:paraId="1291D268" w14:textId="77777777">
      <w:pPr>
        <w:spacing w:after="0" w:line="360" w:lineRule="auto"/>
        <w:jc w:val="both"/>
        <w:rPr>
          <w:rFonts w:cs="Calibri"/>
          <w:sz w:val="24"/>
          <w:szCs w:val="24"/>
          <w:lang w:val="es-CO"/>
        </w:rPr>
      </w:pPr>
    </w:p>
    <w:p w:rsidR="00527B8C" w:rsidRDefault="00527B8C" w14:paraId="7F41A72F" w14:textId="77777777">
      <w:pPr>
        <w:spacing w:after="0" w:line="360" w:lineRule="auto"/>
        <w:jc w:val="both"/>
        <w:rPr>
          <w:rFonts w:cs="Calibri"/>
          <w:sz w:val="24"/>
          <w:szCs w:val="24"/>
          <w:lang w:val="es-CO"/>
        </w:rPr>
      </w:pPr>
    </w:p>
    <w:p w:rsidR="53DEF7DD" w:rsidP="53DEF7DD" w:rsidRDefault="53DEF7DD" w14:paraId="3E9A5DF3" w14:textId="237F58DA">
      <w:pPr>
        <w:spacing w:after="0" w:line="360" w:lineRule="auto"/>
        <w:jc w:val="both"/>
        <w:rPr>
          <w:rFonts w:cs="Calibri"/>
          <w:sz w:val="24"/>
          <w:szCs w:val="24"/>
          <w:lang w:val="es-CO"/>
        </w:rPr>
      </w:pPr>
    </w:p>
    <w:p w:rsidR="00527B8C" w:rsidRDefault="00212A57" w14:paraId="14B7BA40" w14:textId="77777777">
      <w:pPr>
        <w:pStyle w:val="Ttulo1"/>
        <w:spacing w:before="0" w:line="360" w:lineRule="auto"/>
        <w:jc w:val="center"/>
        <w:rPr>
          <w:rFonts w:ascii="Calibri" w:hAnsi="Calibri" w:eastAsia="Calibri" w:cs="Calibri"/>
          <w:sz w:val="24"/>
          <w:szCs w:val="24"/>
          <w:lang w:val="es-CO"/>
        </w:rPr>
      </w:pPr>
      <w:bookmarkStart w:name="_Toc1073662793" w:id="1380209659"/>
      <w:r w:rsidRPr="53DEF7DD" w:rsidR="670101B5">
        <w:rPr>
          <w:rFonts w:ascii="Calibri" w:hAnsi="Calibri" w:eastAsia="Calibri" w:cs="Calibri"/>
          <w:sz w:val="24"/>
          <w:szCs w:val="24"/>
          <w:lang w:val="es-CO"/>
        </w:rPr>
        <w:t>2. Definición técnica</w:t>
      </w:r>
      <w:bookmarkEnd w:id="1380209659"/>
    </w:p>
    <w:p w:rsidR="00527B8C" w:rsidRDefault="00527B8C" w14:paraId="6770EC9C" w14:textId="77777777">
      <w:pPr>
        <w:spacing w:after="0" w:line="360" w:lineRule="auto"/>
        <w:jc w:val="both"/>
        <w:rPr>
          <w:rFonts w:cs="Calibri"/>
          <w:sz w:val="24"/>
          <w:szCs w:val="24"/>
          <w:lang w:val="es-CO"/>
        </w:rPr>
      </w:pPr>
    </w:p>
    <w:p w:rsidR="00527B8C" w:rsidRDefault="00212A57" w14:paraId="723201D3" w14:textId="77777777">
      <w:pPr>
        <w:spacing w:after="0" w:line="360" w:lineRule="auto"/>
        <w:ind w:firstLine="302" w:firstLineChars="126"/>
        <w:jc w:val="both"/>
        <w:rPr>
          <w:rFonts w:cs="Calibri"/>
          <w:sz w:val="24"/>
          <w:szCs w:val="24"/>
          <w:lang w:val="es-CO"/>
        </w:rPr>
      </w:pPr>
      <w:r>
        <w:rPr>
          <w:rFonts w:cs="Calibri"/>
          <w:sz w:val="24"/>
          <w:szCs w:val="24"/>
          <w:lang w:val="es-CO"/>
        </w:rPr>
        <w:t>Los materiales de construcción son empleados en la edificación de estructuras, infraestructuras y obras civiles, cuya función principal es proporcionar resistencia, soporte, protección y estabilidad frente a cargas y agentes ambientales. Estos materiales pueden ser: arena, grava, recebo y arcilla, así como de criterios de durabilidad, seguridad, eficiencia energética y sostenibilidad.</w:t>
      </w:r>
      <w:r>
        <w:rPr>
          <w:rStyle w:val="Refdenotaalpie"/>
          <w:rFonts w:cs="Calibri"/>
          <w:sz w:val="24"/>
          <w:szCs w:val="24"/>
          <w:lang w:val="es-CO"/>
        </w:rPr>
        <w:footnoteReference w:id="1"/>
      </w:r>
    </w:p>
    <w:p w:rsidR="00527B8C" w:rsidRDefault="00527B8C" w14:paraId="037CDDBD" w14:textId="77777777">
      <w:pPr>
        <w:spacing w:after="0" w:line="360" w:lineRule="auto"/>
        <w:ind w:firstLine="302" w:firstLineChars="126"/>
        <w:jc w:val="both"/>
        <w:rPr>
          <w:rFonts w:cs="Calibri"/>
          <w:sz w:val="24"/>
          <w:szCs w:val="24"/>
          <w:lang w:val="es-CO"/>
        </w:rPr>
      </w:pPr>
    </w:p>
    <w:p w:rsidR="00527B8C" w:rsidRDefault="00212A57" w14:paraId="6853464B" w14:textId="77777777">
      <w:pPr>
        <w:spacing w:after="0" w:line="360" w:lineRule="auto"/>
        <w:ind w:firstLine="302" w:firstLineChars="126"/>
        <w:jc w:val="both"/>
        <w:rPr>
          <w:rFonts w:cs="Calibri"/>
          <w:sz w:val="24"/>
          <w:szCs w:val="24"/>
          <w:lang w:val="es-CO"/>
        </w:rPr>
      </w:pPr>
      <w:r>
        <w:rPr>
          <w:rFonts w:cs="Calibri"/>
          <w:sz w:val="24"/>
          <w:szCs w:val="24"/>
          <w:lang w:val="es-CO"/>
        </w:rPr>
        <w:t>Dentro del conjunto de los materiales de construcción encontramos los materiales de arrastre, que son aquellos agregados pétreos naturales (principalmente arenas y gravas) que se encuentran en el cauce y orillas de corrientes de agua, vegas de inundación y otros terrenos aluviales, y que son utilizados como insumos en la industria de la construcción para la fabricación de concreto, morteros, pavimentos y obras de infraestructura.</w:t>
      </w:r>
    </w:p>
    <w:p w:rsidR="00527B8C" w:rsidRDefault="00527B8C" w14:paraId="5DBC92A5" w14:textId="77777777">
      <w:pPr>
        <w:spacing w:after="0" w:line="360" w:lineRule="auto"/>
        <w:ind w:firstLine="302" w:firstLineChars="126"/>
        <w:jc w:val="both"/>
        <w:rPr>
          <w:rFonts w:cs="Calibri"/>
          <w:sz w:val="24"/>
          <w:szCs w:val="24"/>
          <w:lang w:val="es-CO"/>
        </w:rPr>
      </w:pPr>
    </w:p>
    <w:p w:rsidR="00527B8C" w:rsidRDefault="00212A57" w14:paraId="2652B742" w14:textId="77777777">
      <w:pPr>
        <w:spacing w:after="0" w:line="360" w:lineRule="auto"/>
        <w:ind w:firstLine="302" w:firstLineChars="126"/>
        <w:jc w:val="both"/>
        <w:rPr>
          <w:rFonts w:cs="Calibri"/>
          <w:sz w:val="24"/>
          <w:szCs w:val="24"/>
          <w:lang w:val="es-CO"/>
        </w:rPr>
      </w:pPr>
      <w:r w:rsidR="670101B5">
        <w:rPr>
          <w:rFonts w:cs="Calibri"/>
          <w:sz w:val="24"/>
          <w:szCs w:val="24"/>
          <w:lang w:val="es-CO"/>
        </w:rPr>
        <w:t xml:space="preserve">Legalmente, en Colombia, el Código de Minas (Art. 11) los reconoce como parte de los materiales de construcción, junto con los productos pétreos extraídos de minas y canteras. </w:t>
      </w:r>
      <w:r>
        <w:rPr>
          <w:rStyle w:val="Refdenotaalpie"/>
          <w:rFonts w:cs="Calibri"/>
          <w:sz w:val="24"/>
          <w:szCs w:val="24"/>
          <w:lang w:val="es-CO"/>
        </w:rPr>
        <w:footnoteReference w:id="2"/>
      </w:r>
    </w:p>
    <w:p w:rsidR="00527B8C" w:rsidRDefault="00527B8C" w14:paraId="5C4BB13F" w14:textId="77777777">
      <w:pPr>
        <w:spacing w:after="0" w:line="360" w:lineRule="auto"/>
        <w:jc w:val="both"/>
        <w:rPr>
          <w:rFonts w:cs="Calibri"/>
          <w:sz w:val="24"/>
          <w:szCs w:val="24"/>
          <w:lang w:val="es-CO"/>
        </w:rPr>
      </w:pPr>
    </w:p>
    <w:p w:rsidR="00527B8C" w:rsidRDefault="00212A57" w14:paraId="5EDB9DB8" w14:textId="77777777">
      <w:pPr>
        <w:pStyle w:val="Ttulo2"/>
        <w:numPr>
          <w:ilvl w:val="1"/>
          <w:numId w:val="7"/>
        </w:numPr>
        <w:spacing w:before="0" w:line="360" w:lineRule="auto"/>
        <w:jc w:val="both"/>
        <w:rPr>
          <w:rFonts w:ascii="Calibri" w:hAnsi="Calibri" w:eastAsia="Calibri" w:cs="Calibri"/>
          <w:sz w:val="24"/>
          <w:szCs w:val="24"/>
          <w:lang w:val="es-CO"/>
        </w:rPr>
      </w:pPr>
      <w:bookmarkStart w:name="_Toc1895400762" w:id="655497228"/>
      <w:r w:rsidRPr="53DEF7DD" w:rsidR="670101B5">
        <w:rPr>
          <w:rFonts w:ascii="Calibri" w:hAnsi="Calibri" w:eastAsia="Calibri" w:cs="Calibri"/>
          <w:sz w:val="24"/>
          <w:szCs w:val="24"/>
          <w:lang w:val="es-CO"/>
        </w:rPr>
        <w:t>Origen y clasificación</w:t>
      </w:r>
      <w:bookmarkEnd w:id="655497228"/>
    </w:p>
    <w:p w:rsidR="00527B8C" w:rsidRDefault="00527B8C" w14:paraId="2A3E81E6" w14:textId="77777777">
      <w:pPr>
        <w:spacing w:after="0" w:line="360" w:lineRule="auto"/>
        <w:jc w:val="both"/>
        <w:rPr>
          <w:rFonts w:cs="Calibri"/>
          <w:sz w:val="24"/>
          <w:szCs w:val="24"/>
          <w:lang w:val="es-CO"/>
        </w:rPr>
      </w:pPr>
    </w:p>
    <w:p w:rsidR="00527B8C" w:rsidRDefault="00212A57" w14:paraId="3B0A172B" w14:textId="77777777">
      <w:pPr>
        <w:spacing w:after="0" w:line="360" w:lineRule="auto"/>
        <w:ind w:firstLine="302" w:firstLineChars="126"/>
        <w:jc w:val="both"/>
        <w:rPr>
          <w:rFonts w:cs="Calibri"/>
          <w:sz w:val="24"/>
          <w:szCs w:val="24"/>
          <w:lang w:val="es-CO"/>
        </w:rPr>
      </w:pPr>
      <w:r>
        <w:rPr>
          <w:rFonts w:cs="Calibri"/>
          <w:sz w:val="24"/>
          <w:szCs w:val="24"/>
          <w:lang w:val="es-CO"/>
        </w:rPr>
        <w:t xml:space="preserve">La clasificación más aceptada se basa en el </w:t>
      </w:r>
      <w:r>
        <w:rPr>
          <w:rFonts w:cs="Calibri"/>
          <w:b/>
          <w:bCs/>
          <w:sz w:val="24"/>
          <w:szCs w:val="24"/>
          <w:lang w:val="es-CO"/>
        </w:rPr>
        <w:t>origen</w:t>
      </w:r>
      <w:r>
        <w:rPr>
          <w:rFonts w:cs="Calibri"/>
          <w:sz w:val="24"/>
          <w:szCs w:val="24"/>
          <w:lang w:val="es-CO"/>
        </w:rPr>
        <w:t>:</w:t>
      </w:r>
    </w:p>
    <w:p w:rsidR="00527B8C" w:rsidRDefault="00527B8C" w14:paraId="0D279275" w14:textId="77777777">
      <w:pPr>
        <w:spacing w:after="0" w:line="360" w:lineRule="auto"/>
        <w:ind w:firstLine="302" w:firstLineChars="126"/>
        <w:jc w:val="both"/>
        <w:rPr>
          <w:rFonts w:cs="Calibri"/>
          <w:sz w:val="24"/>
          <w:szCs w:val="24"/>
          <w:lang w:val="es-CO"/>
        </w:rPr>
      </w:pPr>
    </w:p>
    <w:p w:rsidR="00527B8C" w:rsidRDefault="00212A57" w14:paraId="422A5112" w14:textId="77777777">
      <w:pPr>
        <w:numPr>
          <w:ilvl w:val="0"/>
          <w:numId w:val="8"/>
        </w:numPr>
        <w:spacing w:after="0" w:line="360" w:lineRule="auto"/>
        <w:ind w:firstLine="304" w:firstLineChars="126"/>
        <w:jc w:val="both"/>
        <w:rPr>
          <w:rFonts w:cs="Calibri"/>
          <w:sz w:val="24"/>
          <w:szCs w:val="24"/>
          <w:lang w:val="es-CO"/>
        </w:rPr>
      </w:pPr>
      <w:r>
        <w:rPr>
          <w:rFonts w:cs="Calibri"/>
          <w:b/>
          <w:bCs/>
          <w:sz w:val="24"/>
          <w:szCs w:val="24"/>
          <w:lang w:val="es-CO"/>
        </w:rPr>
        <w:t>Materiales naturales</w:t>
      </w:r>
      <w:r>
        <w:rPr>
          <w:rStyle w:val="Refdenotaalpie"/>
          <w:rFonts w:cs="Calibri"/>
          <w:sz w:val="24"/>
          <w:szCs w:val="24"/>
          <w:lang w:val="es-CO"/>
        </w:rPr>
        <w:footnoteReference w:id="3"/>
      </w:r>
      <w:r>
        <w:rPr>
          <w:rFonts w:cs="Calibri"/>
          <w:sz w:val="24"/>
          <w:szCs w:val="24"/>
          <w:lang w:val="es-CO"/>
        </w:rPr>
        <w:t>:</w:t>
      </w:r>
    </w:p>
    <w:p w:rsidR="00527B8C" w:rsidRDefault="00527B8C" w14:paraId="6C74ECB6" w14:textId="77777777">
      <w:pPr>
        <w:spacing w:after="0" w:line="360" w:lineRule="auto"/>
        <w:ind w:left="720" w:firstLine="302" w:firstLineChars="126"/>
        <w:jc w:val="both"/>
        <w:rPr>
          <w:rFonts w:cs="Calibri"/>
          <w:sz w:val="24"/>
          <w:szCs w:val="24"/>
          <w:lang w:val="es-CO"/>
        </w:rPr>
      </w:pPr>
    </w:p>
    <w:p w:rsidR="00527B8C" w:rsidRDefault="00212A57" w14:paraId="5CAA05C4" w14:textId="77777777">
      <w:pPr>
        <w:numPr>
          <w:ilvl w:val="1"/>
          <w:numId w:val="8"/>
        </w:numPr>
        <w:spacing w:after="0" w:line="360" w:lineRule="auto"/>
        <w:ind w:firstLine="304" w:firstLineChars="126"/>
        <w:jc w:val="both"/>
        <w:rPr>
          <w:rFonts w:cs="Calibri"/>
          <w:sz w:val="24"/>
          <w:szCs w:val="24"/>
          <w:lang w:val="es-CO"/>
        </w:rPr>
      </w:pPr>
      <w:r>
        <w:rPr>
          <w:rFonts w:cs="Calibri"/>
          <w:b/>
          <w:bCs/>
          <w:sz w:val="24"/>
          <w:szCs w:val="24"/>
          <w:lang w:val="es-CO"/>
        </w:rPr>
        <w:t>Pétreos</w:t>
      </w:r>
      <w:r>
        <w:rPr>
          <w:rFonts w:cs="Calibri"/>
          <w:sz w:val="24"/>
          <w:szCs w:val="24"/>
          <w:lang w:val="es-CO"/>
        </w:rPr>
        <w:t>: rocas ígneas (granito, basalto), sedimentarias (caliza, arenisca) y metamórficas (mármol, pizarra), formadas por procesos geológicos como enfriamiento de magma, sedimentación o metamorfismo.</w:t>
      </w:r>
    </w:p>
    <w:p w:rsidR="00527B8C" w:rsidRDefault="00212A57" w14:paraId="01AC0F97" w14:textId="77777777">
      <w:pPr>
        <w:numPr>
          <w:ilvl w:val="1"/>
          <w:numId w:val="8"/>
        </w:numPr>
        <w:spacing w:after="0" w:line="360" w:lineRule="auto"/>
        <w:ind w:firstLine="304" w:firstLineChars="126"/>
        <w:jc w:val="both"/>
        <w:rPr>
          <w:rFonts w:cs="Calibri"/>
          <w:sz w:val="24"/>
          <w:szCs w:val="24"/>
          <w:lang w:val="es-CO"/>
        </w:rPr>
      </w:pPr>
      <w:r>
        <w:rPr>
          <w:rFonts w:cs="Calibri"/>
          <w:b/>
          <w:bCs/>
          <w:sz w:val="24"/>
          <w:szCs w:val="24"/>
          <w:lang w:val="es-CO"/>
        </w:rPr>
        <w:t>Arcillosos</w:t>
      </w:r>
      <w:r>
        <w:rPr>
          <w:rFonts w:cs="Calibri"/>
          <w:sz w:val="24"/>
          <w:szCs w:val="24"/>
          <w:lang w:val="es-CO"/>
        </w:rPr>
        <w:t xml:space="preserve">: derivados de silicatos de aluminio hidratados, usados en ladrillos y tejas. </w:t>
      </w:r>
    </w:p>
    <w:p w:rsidR="00527B8C" w:rsidRDefault="00212A57" w14:paraId="40DED019" w14:textId="77777777">
      <w:pPr>
        <w:numPr>
          <w:ilvl w:val="1"/>
          <w:numId w:val="8"/>
        </w:numPr>
        <w:spacing w:after="0" w:line="360" w:lineRule="auto"/>
        <w:ind w:firstLine="304" w:firstLineChars="126"/>
        <w:jc w:val="both"/>
        <w:rPr>
          <w:rFonts w:cs="Calibri"/>
          <w:sz w:val="24"/>
          <w:szCs w:val="24"/>
          <w:lang w:val="es-CO"/>
        </w:rPr>
      </w:pPr>
      <w:r w:rsidRPr="53DEF7DD" w:rsidR="670101B5">
        <w:rPr>
          <w:rFonts w:cs="Calibri"/>
          <w:b w:val="1"/>
          <w:bCs w:val="1"/>
          <w:sz w:val="24"/>
          <w:szCs w:val="24"/>
          <w:lang w:val="es-CO"/>
        </w:rPr>
        <w:t>Orgánicos</w:t>
      </w:r>
      <w:r w:rsidRPr="53DEF7DD" w:rsidR="670101B5">
        <w:rPr>
          <w:rFonts w:cs="Calibri"/>
          <w:sz w:val="24"/>
          <w:szCs w:val="24"/>
          <w:lang w:val="es-CO"/>
        </w:rPr>
        <w:t xml:space="preserve">: madera, fibras vegetales, corcho, caucho. </w:t>
      </w:r>
    </w:p>
    <w:p w:rsidR="00527B8C" w:rsidRDefault="00212A57" w14:paraId="72A3A847" w14:textId="77777777">
      <w:pPr>
        <w:pStyle w:val="Ttulo2"/>
        <w:numPr>
          <w:ilvl w:val="1"/>
          <w:numId w:val="7"/>
        </w:numPr>
        <w:spacing w:before="0" w:line="360" w:lineRule="auto"/>
        <w:jc w:val="both"/>
        <w:rPr>
          <w:rFonts w:ascii="Calibri" w:hAnsi="Calibri" w:eastAsia="Calibri" w:cs="Calibri"/>
          <w:sz w:val="24"/>
          <w:szCs w:val="24"/>
          <w:lang w:val="es-CO"/>
        </w:rPr>
      </w:pPr>
      <w:bookmarkStart w:name="_Toc1844032116" w:id="1167139871"/>
      <w:r w:rsidRPr="53DEF7DD" w:rsidR="670101B5">
        <w:rPr>
          <w:rFonts w:ascii="Calibri" w:hAnsi="Calibri" w:eastAsia="Calibri" w:cs="Calibri"/>
          <w:sz w:val="24"/>
          <w:szCs w:val="24"/>
          <w:lang w:val="es-CO"/>
        </w:rPr>
        <w:t>Origen geológico:</w:t>
      </w:r>
      <w:bookmarkEnd w:id="1167139871"/>
    </w:p>
    <w:p w:rsidR="00527B8C" w:rsidRDefault="00527B8C" w14:paraId="0B7BA8B4" w14:textId="77777777">
      <w:pPr>
        <w:spacing w:after="0" w:line="360" w:lineRule="auto"/>
        <w:ind w:firstLine="302" w:firstLineChars="126"/>
        <w:jc w:val="both"/>
        <w:rPr>
          <w:rFonts w:cs="Calibri"/>
          <w:sz w:val="24"/>
          <w:szCs w:val="24"/>
          <w:lang w:val="es-CO"/>
        </w:rPr>
      </w:pPr>
    </w:p>
    <w:p w:rsidR="00527B8C" w:rsidRDefault="00212A57" w14:paraId="2203AD13" w14:textId="77777777">
      <w:pPr>
        <w:numPr>
          <w:ilvl w:val="0"/>
          <w:numId w:val="9"/>
        </w:numPr>
        <w:spacing w:after="0" w:line="360" w:lineRule="auto"/>
        <w:ind w:firstLine="304" w:firstLineChars="126"/>
        <w:jc w:val="both"/>
        <w:rPr>
          <w:rFonts w:cs="Calibri"/>
          <w:sz w:val="24"/>
          <w:szCs w:val="24"/>
          <w:lang w:val="es-CO"/>
        </w:rPr>
      </w:pPr>
      <w:r>
        <w:rPr>
          <w:rFonts w:cs="Calibri"/>
          <w:b/>
          <w:bCs/>
          <w:sz w:val="24"/>
          <w:szCs w:val="24"/>
          <w:lang w:val="es-CO"/>
        </w:rPr>
        <w:t>Ígneas</w:t>
      </w:r>
      <w:r>
        <w:rPr>
          <w:rFonts w:cs="Calibri"/>
          <w:sz w:val="24"/>
          <w:szCs w:val="24"/>
          <w:lang w:val="es-CO"/>
        </w:rPr>
        <w:t>: solidificación de magma (granito, basalto).</w:t>
      </w:r>
    </w:p>
    <w:p w:rsidR="00527B8C" w:rsidRDefault="00212A57" w14:paraId="021387C6" w14:textId="77777777">
      <w:pPr>
        <w:numPr>
          <w:ilvl w:val="0"/>
          <w:numId w:val="9"/>
        </w:numPr>
        <w:spacing w:after="0" w:line="360" w:lineRule="auto"/>
        <w:ind w:firstLine="304" w:firstLineChars="126"/>
        <w:jc w:val="both"/>
        <w:rPr>
          <w:rFonts w:cs="Calibri"/>
          <w:sz w:val="24"/>
          <w:szCs w:val="24"/>
          <w:lang w:val="es-CO"/>
        </w:rPr>
      </w:pPr>
      <w:r>
        <w:rPr>
          <w:rFonts w:cs="Calibri"/>
          <w:b/>
          <w:bCs/>
          <w:sz w:val="24"/>
          <w:szCs w:val="24"/>
          <w:lang w:val="es-CO"/>
        </w:rPr>
        <w:t>Sedimentarias</w:t>
      </w:r>
      <w:r>
        <w:rPr>
          <w:rFonts w:cs="Calibri"/>
          <w:sz w:val="24"/>
          <w:szCs w:val="24"/>
          <w:lang w:val="es-CO"/>
        </w:rPr>
        <w:t>: compactación de sedimentos (caliza, arenisca).</w:t>
      </w:r>
    </w:p>
    <w:p w:rsidR="00527B8C" w:rsidRDefault="00212A57" w14:paraId="424C708D" w14:textId="77777777">
      <w:pPr>
        <w:numPr>
          <w:ilvl w:val="0"/>
          <w:numId w:val="9"/>
        </w:numPr>
        <w:spacing w:after="0" w:line="360" w:lineRule="auto"/>
        <w:ind w:firstLine="304" w:firstLineChars="126"/>
        <w:jc w:val="both"/>
        <w:rPr>
          <w:rFonts w:cs="Calibri"/>
          <w:sz w:val="24"/>
          <w:szCs w:val="24"/>
          <w:lang w:val="es-CO"/>
        </w:rPr>
      </w:pPr>
      <w:r>
        <w:rPr>
          <w:rFonts w:cs="Calibri"/>
          <w:b/>
          <w:bCs/>
          <w:sz w:val="24"/>
          <w:szCs w:val="24"/>
          <w:lang w:val="es-CO"/>
        </w:rPr>
        <w:t>Metamórficas</w:t>
      </w:r>
      <w:r>
        <w:rPr>
          <w:rFonts w:cs="Calibri"/>
          <w:sz w:val="24"/>
          <w:szCs w:val="24"/>
          <w:lang w:val="es-CO"/>
        </w:rPr>
        <w:t xml:space="preserve">: transformación de rocas preexistentes bajo presión y temperatura (mármol, pizarra). </w:t>
      </w:r>
    </w:p>
    <w:p w:rsidR="00527B8C" w:rsidRDefault="00527B8C" w14:paraId="09869EDB" w14:textId="77777777">
      <w:pPr>
        <w:spacing w:after="0" w:line="360" w:lineRule="auto"/>
        <w:ind w:firstLine="302" w:firstLineChars="126"/>
        <w:jc w:val="both"/>
        <w:rPr>
          <w:rFonts w:cs="Calibri"/>
          <w:sz w:val="24"/>
          <w:szCs w:val="24"/>
          <w:lang w:val="es-CO"/>
        </w:rPr>
      </w:pPr>
    </w:p>
    <w:p w:rsidR="00527B8C" w:rsidRDefault="00212A57" w14:paraId="0C88E292" w14:textId="77777777">
      <w:pPr>
        <w:spacing w:after="0" w:line="360" w:lineRule="auto"/>
        <w:ind w:firstLine="302" w:firstLineChars="126"/>
        <w:jc w:val="both"/>
        <w:rPr>
          <w:rFonts w:cs="Calibri"/>
          <w:sz w:val="24"/>
          <w:szCs w:val="24"/>
          <w:lang w:val="es-CO"/>
        </w:rPr>
      </w:pPr>
      <w:r>
        <w:rPr>
          <w:rFonts w:cs="Calibri"/>
          <w:sz w:val="24"/>
          <w:szCs w:val="24"/>
          <w:lang w:val="es-CO"/>
        </w:rPr>
        <w:t>Los materiales de arrastre tienen un origen sedimentario y aluvial, resultado de procesos erosivos y de transporte fluvial que fragmentan rocas ígneas, metamórficas y sedimentarias, depositándolas en cauces y planicies de inundación.</w:t>
      </w:r>
    </w:p>
    <w:p w:rsidR="00527B8C" w:rsidRDefault="00212A57" w14:paraId="7A68B88D" w14:textId="77777777">
      <w:pPr>
        <w:spacing w:after="0" w:line="360" w:lineRule="auto"/>
        <w:ind w:firstLine="302" w:firstLineChars="126"/>
        <w:jc w:val="both"/>
        <w:rPr>
          <w:rFonts w:cs="Calibri"/>
          <w:sz w:val="24"/>
          <w:szCs w:val="24"/>
          <w:lang w:val="es-CO"/>
        </w:rPr>
      </w:pPr>
      <w:r>
        <w:rPr>
          <w:rFonts w:cs="Calibri"/>
          <w:sz w:val="24"/>
          <w:szCs w:val="24"/>
          <w:lang w:val="es-CO"/>
        </w:rPr>
        <w:t>Este ciclo involucra:</w:t>
      </w:r>
    </w:p>
    <w:p w:rsidR="00527B8C" w:rsidRDefault="00212A57" w14:paraId="1E7CFE4C" w14:textId="77777777">
      <w:pPr>
        <w:numPr>
          <w:ilvl w:val="0"/>
          <w:numId w:val="10"/>
        </w:numPr>
        <w:spacing w:after="0" w:line="360" w:lineRule="auto"/>
        <w:ind w:firstLine="304" w:firstLineChars="126"/>
        <w:jc w:val="both"/>
        <w:rPr>
          <w:rFonts w:cs="Calibri"/>
          <w:sz w:val="24"/>
          <w:szCs w:val="24"/>
          <w:lang w:val="es-CO"/>
        </w:rPr>
      </w:pPr>
      <w:r>
        <w:rPr>
          <w:rFonts w:cs="Calibri"/>
          <w:b/>
          <w:bCs/>
          <w:sz w:val="24"/>
          <w:szCs w:val="24"/>
          <w:lang w:val="es-CO"/>
        </w:rPr>
        <w:t>Desintegración mecánica y química</w:t>
      </w:r>
      <w:r>
        <w:rPr>
          <w:rFonts w:cs="Calibri"/>
          <w:sz w:val="24"/>
          <w:szCs w:val="24"/>
          <w:lang w:val="es-CO"/>
        </w:rPr>
        <w:t xml:space="preserve"> de rocas en zonas altas.</w:t>
      </w:r>
    </w:p>
    <w:p w:rsidR="00527B8C" w:rsidRDefault="00212A57" w14:paraId="3C3473DD" w14:textId="77777777">
      <w:pPr>
        <w:numPr>
          <w:ilvl w:val="0"/>
          <w:numId w:val="10"/>
        </w:numPr>
        <w:spacing w:after="0" w:line="360" w:lineRule="auto"/>
        <w:ind w:firstLine="304" w:firstLineChars="126"/>
        <w:jc w:val="both"/>
        <w:rPr>
          <w:rFonts w:cs="Calibri"/>
          <w:sz w:val="24"/>
          <w:szCs w:val="24"/>
          <w:lang w:val="es-CO"/>
        </w:rPr>
      </w:pPr>
      <w:r>
        <w:rPr>
          <w:rFonts w:cs="Calibri"/>
          <w:b/>
          <w:bCs/>
          <w:sz w:val="24"/>
          <w:szCs w:val="24"/>
          <w:lang w:val="es-CO"/>
        </w:rPr>
        <w:t>Transporte por corrientes hídricas</w:t>
      </w:r>
      <w:r>
        <w:rPr>
          <w:rFonts w:cs="Calibri"/>
          <w:sz w:val="24"/>
          <w:szCs w:val="24"/>
          <w:lang w:val="es-CO"/>
        </w:rPr>
        <w:t xml:space="preserve"> (ríos y quebradas).</w:t>
      </w:r>
    </w:p>
    <w:p w:rsidR="00527B8C" w:rsidRDefault="00212A57" w14:textId="77777777" w14:paraId="201B535C">
      <w:pPr>
        <w:numPr>
          <w:ilvl w:val="0"/>
          <w:numId w:val="10"/>
        </w:numPr>
        <w:spacing w:after="0" w:line="360" w:lineRule="auto"/>
        <w:ind w:firstLine="304" w:firstLineChars="126"/>
        <w:jc w:val="both"/>
        <w:rPr>
          <w:rFonts w:cs="Calibri"/>
          <w:sz w:val="24"/>
          <w:szCs w:val="24"/>
          <w:lang w:val="es-CO"/>
        </w:rPr>
      </w:pPr>
      <w:r w:rsidR="670101B5">
        <w:rPr>
          <w:rFonts w:cs="Calibri"/>
          <w:b w:val="1"/>
          <w:bCs w:val="1"/>
          <w:sz w:val="24"/>
          <w:szCs w:val="24"/>
          <w:lang w:val="es-CO"/>
        </w:rPr>
        <w:t>Deposición en terrazas, cauces y vegas</w:t>
      </w:r>
      <w:r w:rsidR="670101B5">
        <w:rPr>
          <w:rFonts w:cs="Calibri"/>
          <w:sz w:val="24"/>
          <w:szCs w:val="24"/>
          <w:lang w:val="es-CO"/>
        </w:rPr>
        <w:t xml:space="preserve"> durante eventos de sedimentación.</w:t>
      </w:r>
    </w:p>
    <w:p w:rsidR="00527B8C" w:rsidP="53DEF7DD" w:rsidRDefault="00212A57" w14:paraId="746910B8" w14:textId="01FE68B3">
      <w:pPr>
        <w:spacing w:after="0" w:line="360" w:lineRule="auto"/>
        <w:ind w:left="0" w:firstLine="0"/>
        <w:jc w:val="both"/>
        <w:rPr>
          <w:rFonts w:cs="Calibri"/>
          <w:sz w:val="24"/>
          <w:szCs w:val="24"/>
          <w:lang w:val="es-CO"/>
        </w:rPr>
      </w:pPr>
    </w:p>
    <w:p w:rsidR="00527B8C" w:rsidP="53DEF7DD" w:rsidRDefault="00212A57" w14:paraId="434DBF59" w14:textId="77777777">
      <w:pPr>
        <w:spacing w:after="0" w:line="360" w:lineRule="auto"/>
        <w:ind w:left="0" w:firstLine="285"/>
        <w:jc w:val="both"/>
        <w:rPr>
          <w:rFonts w:cs="Calibri"/>
          <w:sz w:val="24"/>
          <w:szCs w:val="24"/>
          <w:lang w:val="es-CO"/>
        </w:rPr>
      </w:pPr>
      <w:r w:rsidR="670101B5">
        <w:rPr>
          <w:rFonts w:cs="Calibri"/>
          <w:sz w:val="24"/>
          <w:szCs w:val="24"/>
          <w:lang w:val="es-CO"/>
        </w:rPr>
        <w:t xml:space="preserve">En regiones como la Amazonía y la Orinoquía, estos depósitos se asocian a unidades cuaternarias extensas, con espesores significativos y alta disponibilidad de arenas y gravas. </w:t>
      </w:r>
      <w:r>
        <w:rPr>
          <w:rStyle w:val="Refdenotaalpie"/>
          <w:rFonts w:cs="Calibri"/>
          <w:sz w:val="24"/>
          <w:szCs w:val="24"/>
          <w:lang w:val="es-CO"/>
        </w:rPr>
        <w:footnoteReference w:id="4"/>
      </w:r>
    </w:p>
    <w:p w:rsidR="00527B8C" w:rsidRDefault="00527B8C" w14:paraId="18B29FE9" w14:textId="77777777">
      <w:pPr>
        <w:spacing w:after="0" w:line="360" w:lineRule="auto"/>
        <w:ind w:firstLine="302" w:firstLineChars="126"/>
        <w:jc w:val="both"/>
        <w:rPr>
          <w:rFonts w:cs="Calibri"/>
          <w:sz w:val="24"/>
          <w:szCs w:val="24"/>
          <w:lang w:val="es-CO"/>
        </w:rPr>
      </w:pPr>
    </w:p>
    <w:p w:rsidR="00527B8C" w:rsidRDefault="00212A57" w14:paraId="17AD7AAC" w14:textId="77777777">
      <w:pPr>
        <w:spacing w:line="360" w:lineRule="auto"/>
        <w:ind w:firstLine="304" w:firstLineChars="126"/>
        <w:jc w:val="both"/>
        <w:rPr>
          <w:rFonts w:cs="Calibri"/>
          <w:sz w:val="24"/>
          <w:szCs w:val="24"/>
          <w:lang w:val="es-CO"/>
        </w:rPr>
      </w:pPr>
      <w:r>
        <w:rPr>
          <w:rFonts w:cs="Calibri"/>
          <w:b/>
          <w:bCs/>
          <w:sz w:val="24"/>
          <w:szCs w:val="24"/>
          <w:lang w:val="es-CO"/>
        </w:rPr>
        <w:t>Evolución geomorfológica y tectónica:</w:t>
      </w:r>
      <w:r>
        <w:rPr>
          <w:rFonts w:cs="Calibri"/>
          <w:sz w:val="24"/>
          <w:szCs w:val="24"/>
          <w:lang w:val="es-CO"/>
        </w:rPr>
        <w:t xml:space="preserve"> Estos dos conjuntos se modelan por acción fluvial. La forma del Amazonas colombiano está determinada por:</w:t>
      </w:r>
    </w:p>
    <w:p w:rsidR="00527B8C" w:rsidRDefault="00212A57" w14:paraId="7547E7D5" w14:textId="77777777">
      <w:pPr>
        <w:pStyle w:val="Prrafodelista"/>
        <w:numPr>
          <w:ilvl w:val="0"/>
          <w:numId w:val="11"/>
        </w:numPr>
        <w:spacing w:line="360" w:lineRule="auto"/>
        <w:ind w:firstLine="302" w:firstLineChars="126"/>
        <w:jc w:val="both"/>
        <w:rPr>
          <w:rFonts w:cs="Calibri"/>
          <w:sz w:val="24"/>
          <w:szCs w:val="24"/>
          <w:lang w:val="es-CO"/>
        </w:rPr>
      </w:pPr>
      <w:r>
        <w:rPr>
          <w:rFonts w:cs="Calibri"/>
          <w:sz w:val="24"/>
          <w:szCs w:val="24"/>
          <w:lang w:val="es-CO"/>
        </w:rPr>
        <w:t>Hundimiento tectónico del Subandino–Solimões</w:t>
      </w:r>
    </w:p>
    <w:p w:rsidR="00527B8C" w:rsidRDefault="00212A57" w14:paraId="6295BDEE" w14:textId="77777777">
      <w:pPr>
        <w:pStyle w:val="Prrafodelista"/>
        <w:numPr>
          <w:ilvl w:val="0"/>
          <w:numId w:val="11"/>
        </w:numPr>
        <w:spacing w:line="360" w:lineRule="auto"/>
        <w:ind w:firstLine="302" w:firstLineChars="126"/>
        <w:jc w:val="both"/>
        <w:rPr>
          <w:rFonts w:cs="Calibri"/>
          <w:sz w:val="24"/>
          <w:szCs w:val="24"/>
          <w:lang w:val="es-CO"/>
        </w:rPr>
      </w:pPr>
      <w:r>
        <w:rPr>
          <w:rFonts w:cs="Calibri"/>
          <w:sz w:val="24"/>
          <w:szCs w:val="24"/>
          <w:lang w:val="es-CO"/>
        </w:rPr>
        <w:t>Estabilidad del Escudo Guayanés</w:t>
      </w:r>
    </w:p>
    <w:p w:rsidR="00527B8C" w:rsidRDefault="00212A57" w14:paraId="25A42E80" w14:textId="77777777">
      <w:pPr>
        <w:pStyle w:val="Prrafodelista"/>
        <w:numPr>
          <w:ilvl w:val="0"/>
          <w:numId w:val="11"/>
        </w:numPr>
        <w:spacing w:line="360" w:lineRule="auto"/>
        <w:jc w:val="both"/>
        <w:rPr>
          <w:rFonts w:cs="Calibri"/>
          <w:sz w:val="24"/>
          <w:szCs w:val="24"/>
          <w:lang w:val="es-CO"/>
        </w:rPr>
      </w:pPr>
      <w:r>
        <w:rPr>
          <w:rFonts w:cs="Calibri"/>
          <w:sz w:val="24"/>
          <w:szCs w:val="24"/>
          <w:lang w:val="es-CO"/>
        </w:rPr>
        <w:t>Aporte sedimentario masivo desde los Andes</w:t>
      </w:r>
    </w:p>
    <w:p w:rsidR="00527B8C" w:rsidRDefault="00212A57" w14:paraId="2698B294" w14:textId="77777777">
      <w:pPr>
        <w:pStyle w:val="Prrafodelista"/>
        <w:numPr>
          <w:ilvl w:val="0"/>
          <w:numId w:val="11"/>
        </w:numPr>
        <w:spacing w:line="360" w:lineRule="auto"/>
        <w:jc w:val="both"/>
        <w:rPr>
          <w:rFonts w:cs="Calibri"/>
          <w:sz w:val="24"/>
          <w:szCs w:val="24"/>
          <w:lang w:val="es-CO"/>
        </w:rPr>
      </w:pPr>
      <w:r>
        <w:rPr>
          <w:rFonts w:cs="Calibri"/>
          <w:sz w:val="24"/>
          <w:szCs w:val="24"/>
          <w:lang w:val="es-CO"/>
        </w:rPr>
        <w:t>Desarrollo de cuencas intracratónicas con sedimentación gruesa y fina</w:t>
      </w:r>
    </w:p>
    <w:p w:rsidR="00527B8C" w:rsidRDefault="00527B8C" w14:paraId="4B079595" w14:textId="77777777">
      <w:pPr>
        <w:spacing w:after="0" w:line="360" w:lineRule="auto"/>
        <w:jc w:val="both"/>
        <w:rPr>
          <w:rFonts w:cs="Calibri"/>
          <w:sz w:val="24"/>
          <w:szCs w:val="24"/>
          <w:lang w:val="es-CO"/>
        </w:rPr>
      </w:pPr>
    </w:p>
    <w:p w:rsidR="00527B8C" w:rsidRDefault="00212A57" w14:paraId="7D024958" w14:textId="77777777">
      <w:pPr>
        <w:pStyle w:val="Ttulo3"/>
        <w:spacing w:line="360" w:lineRule="auto"/>
        <w:jc w:val="both"/>
        <w:rPr>
          <w:rStyle w:val="Refdenotaalfinal"/>
          <w:rFonts w:ascii="Calibri" w:hAnsi="Calibri" w:eastAsia="Calibri" w:cs="Calibri"/>
          <w:color w:val="auto"/>
          <w:sz w:val="24"/>
          <w:szCs w:val="24"/>
          <w:lang w:val="es-CO"/>
        </w:rPr>
      </w:pPr>
      <w:bookmarkStart w:name="_Toc1804728455" w:id="1962378678"/>
      <w:r w:rsidR="670101B5">
        <w:rPr>
          <w:sz w:val="24"/>
          <w:szCs w:val="24"/>
          <w:lang w:val="es-CO"/>
        </w:rPr>
        <w:t>2.2.1. Geología y recursos:</w:t>
      </w:r>
      <w:r>
        <w:rPr>
          <w:rStyle w:val="Refdenotaalpie"/>
          <w:rFonts w:ascii="Calibri" w:hAnsi="Calibri" w:eastAsia="Calibri" w:cs="Calibri"/>
          <w:b w:val="0"/>
          <w:bCs w:val="0"/>
          <w:color w:val="auto"/>
          <w:sz w:val="24"/>
          <w:szCs w:val="24"/>
          <w:lang w:val="es-CO"/>
        </w:rPr>
        <w:footnoteReference w:id="5"/>
      </w:r>
      <w:bookmarkEnd w:id="1962378678"/>
    </w:p>
    <w:p w:rsidR="00527B8C" w:rsidRDefault="00527B8C" w14:paraId="5BC4BB77" w14:textId="77777777">
      <w:pPr>
        <w:spacing w:after="0" w:line="360" w:lineRule="auto"/>
        <w:jc w:val="both"/>
        <w:rPr>
          <w:rFonts w:cs="Calibri"/>
          <w:sz w:val="24"/>
          <w:szCs w:val="24"/>
          <w:lang w:val="es-CO"/>
        </w:rPr>
      </w:pPr>
    </w:p>
    <w:p w:rsidR="00527B8C" w:rsidRDefault="00212A57" w14:paraId="25589FDF" w14:textId="77777777">
      <w:pPr>
        <w:spacing w:after="0" w:line="360" w:lineRule="auto"/>
        <w:ind w:firstLine="304" w:firstLineChars="126"/>
        <w:jc w:val="both"/>
        <w:rPr>
          <w:rFonts w:cs="Calibri"/>
          <w:sz w:val="24"/>
          <w:szCs w:val="24"/>
          <w:lang w:val="es-CO"/>
        </w:rPr>
      </w:pPr>
      <w:r>
        <w:rPr>
          <w:rFonts w:cs="Calibri"/>
          <w:b/>
          <w:bCs/>
          <w:sz w:val="24"/>
          <w:szCs w:val="24"/>
          <w:lang w:val="es-CO"/>
        </w:rPr>
        <w:t>Materiales de construcción.</w:t>
      </w:r>
      <w:r>
        <w:rPr>
          <w:rFonts w:cs="Calibri"/>
          <w:sz w:val="24"/>
          <w:szCs w:val="24"/>
          <w:lang w:val="es-CO"/>
        </w:rPr>
        <w:t xml:space="preserve"> se dividen en dos: depósitos cuaternarios y el material pétreo del basamento:</w:t>
      </w:r>
    </w:p>
    <w:p w:rsidR="00527B8C" w:rsidRDefault="00212A57" w14:paraId="53F9E71B" w14:textId="77777777">
      <w:pPr>
        <w:pStyle w:val="Sinespaciado"/>
        <w:numPr>
          <w:ilvl w:val="0"/>
          <w:numId w:val="12"/>
        </w:numPr>
        <w:spacing w:line="360" w:lineRule="auto"/>
        <w:ind w:firstLine="302" w:firstLineChars="126"/>
        <w:jc w:val="both"/>
        <w:rPr>
          <w:rFonts w:ascii="Calibri" w:hAnsi="Calibri" w:eastAsia="Calibri" w:cs="Calibri"/>
          <w:sz w:val="24"/>
          <w:szCs w:val="24"/>
          <w:lang w:val="es-CO"/>
        </w:rPr>
      </w:pPr>
      <w:r>
        <w:rPr>
          <w:rFonts w:ascii="Calibri" w:hAnsi="Calibri" w:eastAsia="Calibri" w:cs="Calibri"/>
          <w:sz w:val="24"/>
          <w:szCs w:val="24"/>
          <w:lang w:val="es-CO"/>
        </w:rPr>
        <w:t xml:space="preserve">Depósitos cuaternarios – principales fuentes actuales de materiales: </w:t>
      </w:r>
    </w:p>
    <w:p w:rsidR="00527B8C" w:rsidRDefault="00212A57" w14:paraId="3523E062" w14:textId="77777777">
      <w:pPr>
        <w:pStyle w:val="Sinespaciado"/>
        <w:numPr>
          <w:ilvl w:val="0"/>
          <w:numId w:val="13"/>
        </w:numPr>
        <w:spacing w:line="360" w:lineRule="auto"/>
        <w:ind w:firstLine="302" w:firstLineChars="126"/>
        <w:jc w:val="both"/>
        <w:rPr>
          <w:rFonts w:ascii="Calibri" w:hAnsi="Calibri" w:eastAsia="Calibri" w:cs="Calibri"/>
          <w:sz w:val="24"/>
          <w:szCs w:val="24"/>
          <w:lang w:val="es-CO"/>
        </w:rPr>
      </w:pPr>
      <w:r>
        <w:rPr>
          <w:rFonts w:ascii="Calibri" w:hAnsi="Calibri" w:eastAsia="Calibri" w:cs="Calibri"/>
          <w:sz w:val="24"/>
          <w:szCs w:val="24"/>
          <w:lang w:val="es-CO"/>
        </w:rPr>
        <w:t xml:space="preserve">Arcillas y arenas no consolidadas distribuidas a lo largo de los cursos de agua de la Amazonia colombiana. </w:t>
      </w:r>
    </w:p>
    <w:p w:rsidR="00527B8C" w:rsidRDefault="00212A57" w14:paraId="3C63E6D2" w14:textId="77777777">
      <w:pPr>
        <w:pStyle w:val="Sinespaciado"/>
        <w:numPr>
          <w:ilvl w:val="0"/>
          <w:numId w:val="14"/>
        </w:numPr>
        <w:spacing w:line="360" w:lineRule="auto"/>
        <w:ind w:firstLine="302" w:firstLineChars="126"/>
        <w:jc w:val="both"/>
        <w:rPr>
          <w:rFonts w:ascii="Calibri" w:hAnsi="Calibri" w:eastAsia="Calibri" w:cs="Calibri"/>
          <w:sz w:val="24"/>
          <w:szCs w:val="24"/>
          <w:lang w:val="es-CO"/>
        </w:rPr>
      </w:pPr>
      <w:r>
        <w:rPr>
          <w:rFonts w:ascii="Calibri" w:hAnsi="Calibri" w:eastAsia="Calibri" w:cs="Calibri"/>
          <w:sz w:val="24"/>
          <w:szCs w:val="24"/>
          <w:lang w:val="es-CO"/>
        </w:rPr>
        <w:t xml:space="preserve">Material pétreo del basamento: </w:t>
      </w:r>
    </w:p>
    <w:p w:rsidR="00527B8C" w:rsidRDefault="00212A57" w14:paraId="5F9ACA3F" w14:textId="77777777">
      <w:pPr>
        <w:pStyle w:val="Sinespaciado"/>
        <w:numPr>
          <w:ilvl w:val="0"/>
          <w:numId w:val="15"/>
        </w:numPr>
        <w:spacing w:line="360" w:lineRule="auto"/>
        <w:ind w:firstLine="302" w:firstLineChars="126"/>
        <w:jc w:val="both"/>
        <w:rPr>
          <w:rFonts w:ascii="Calibri" w:hAnsi="Calibri" w:eastAsia="Calibri" w:cs="Calibri"/>
          <w:sz w:val="24"/>
          <w:szCs w:val="24"/>
          <w:lang w:val="es-CO"/>
        </w:rPr>
      </w:pPr>
      <w:r>
        <w:rPr>
          <w:rFonts w:ascii="Calibri" w:hAnsi="Calibri" w:eastAsia="Calibri" w:cs="Calibri"/>
          <w:sz w:val="24"/>
          <w:szCs w:val="24"/>
          <w:lang w:val="es-CO"/>
        </w:rPr>
        <w:t xml:space="preserve">Neises, granitos, anfibolitas y cuarcitas del Escudo, los cuales originan cantos rodados y gravas transportadas por los ríos amazónicos. </w:t>
      </w:r>
    </w:p>
    <w:p w:rsidR="00527B8C" w:rsidRDefault="00212A57" w14:paraId="504DC96C" w14:textId="77777777">
      <w:pPr>
        <w:pStyle w:val="Sinespaciado"/>
        <w:numPr>
          <w:ilvl w:val="0"/>
          <w:numId w:val="15"/>
        </w:numPr>
        <w:spacing w:line="360" w:lineRule="auto"/>
        <w:ind w:firstLine="302" w:firstLineChars="126"/>
        <w:jc w:val="both"/>
        <w:rPr>
          <w:rFonts w:ascii="Calibri" w:hAnsi="Calibri" w:eastAsia="Calibri" w:cs="Calibri"/>
          <w:sz w:val="24"/>
          <w:szCs w:val="24"/>
          <w:lang w:val="es-CO"/>
        </w:rPr>
      </w:pPr>
      <w:r>
        <w:rPr>
          <w:rFonts w:ascii="Calibri" w:hAnsi="Calibri" w:eastAsia="Calibri" w:cs="Calibri"/>
          <w:sz w:val="24"/>
          <w:szCs w:val="24"/>
          <w:lang w:val="es-CO"/>
        </w:rPr>
        <w:t>Conglomerados cuarzosos de Roraima y Araracuara, que generan arenas silíceas de alta pureza.</w:t>
      </w:r>
    </w:p>
    <w:p w:rsidR="00527B8C" w:rsidRDefault="00527B8C" w14:paraId="53351BB6" w14:textId="77777777">
      <w:pPr>
        <w:pStyle w:val="Sinespaciado"/>
        <w:spacing w:line="360" w:lineRule="auto"/>
        <w:ind w:firstLine="302" w:firstLineChars="126"/>
        <w:jc w:val="both"/>
        <w:rPr>
          <w:rFonts w:ascii="Calibri" w:hAnsi="Calibri" w:eastAsia="Calibri" w:cs="Calibri"/>
          <w:sz w:val="24"/>
          <w:szCs w:val="24"/>
          <w:lang w:val="es-CO"/>
        </w:rPr>
      </w:pPr>
    </w:p>
    <w:p w:rsidR="00527B8C" w:rsidRDefault="00212A57" w14:paraId="3774E90A" w14:textId="77777777">
      <w:pPr>
        <w:pStyle w:val="Sinespaciado"/>
        <w:spacing w:line="360" w:lineRule="auto"/>
        <w:ind w:firstLine="304" w:firstLineChars="126"/>
        <w:jc w:val="both"/>
        <w:rPr>
          <w:rFonts w:ascii="Calibri" w:hAnsi="Calibri" w:eastAsia="Calibri" w:cs="Calibri"/>
          <w:sz w:val="24"/>
          <w:szCs w:val="24"/>
          <w:lang w:val="es-CO"/>
        </w:rPr>
      </w:pPr>
      <w:r>
        <w:rPr>
          <w:rFonts w:ascii="Calibri" w:hAnsi="Calibri" w:eastAsia="Calibri" w:cs="Calibri"/>
          <w:b/>
          <w:bCs/>
          <w:sz w:val="24"/>
          <w:szCs w:val="24"/>
          <w:lang w:val="es-CO"/>
        </w:rPr>
        <w:t>Gravas y arenas cuaternarias</w:t>
      </w:r>
      <w:r>
        <w:rPr>
          <w:rFonts w:ascii="Calibri" w:hAnsi="Calibri" w:eastAsia="Calibri" w:cs="Calibri"/>
          <w:sz w:val="24"/>
          <w:szCs w:val="24"/>
          <w:lang w:val="es-CO"/>
        </w:rPr>
        <w:t>. La cobertura cuaternaria está compuesta por arenas y arcillas no consolidadas que cubren gran parte del territorio amazónico, especialmente a lo largo de los ríos principales. Estas unidades son las principales fuentes naturales de:</w:t>
      </w:r>
    </w:p>
    <w:p w:rsidR="00527B8C" w:rsidRDefault="00212A57" w14:paraId="1B1CE8E5" w14:textId="77777777">
      <w:pPr>
        <w:pStyle w:val="Sinespaciado"/>
        <w:numPr>
          <w:ilvl w:val="0"/>
          <w:numId w:val="16"/>
        </w:numPr>
        <w:spacing w:line="360" w:lineRule="auto"/>
        <w:ind w:firstLine="302" w:firstLineChars="126"/>
        <w:jc w:val="both"/>
        <w:rPr>
          <w:rFonts w:ascii="Calibri" w:hAnsi="Calibri" w:eastAsia="Calibri" w:cs="Calibri"/>
          <w:sz w:val="24"/>
          <w:szCs w:val="24"/>
          <w:lang w:val="es-CO"/>
        </w:rPr>
      </w:pPr>
      <w:r>
        <w:rPr>
          <w:rFonts w:ascii="Calibri" w:hAnsi="Calibri" w:eastAsia="Calibri" w:cs="Calibri"/>
          <w:sz w:val="24"/>
          <w:szCs w:val="24"/>
          <w:lang w:val="es-CO"/>
        </w:rPr>
        <w:t xml:space="preserve">Arenas de arrastre. </w:t>
      </w:r>
    </w:p>
    <w:p w:rsidR="00527B8C" w:rsidRDefault="00212A57" w14:paraId="3F1F5EE0" w14:textId="77777777">
      <w:pPr>
        <w:pStyle w:val="Sinespaciado"/>
        <w:numPr>
          <w:ilvl w:val="0"/>
          <w:numId w:val="16"/>
        </w:numPr>
        <w:spacing w:line="360" w:lineRule="auto"/>
        <w:ind w:firstLine="302" w:firstLineChars="126"/>
        <w:jc w:val="both"/>
        <w:rPr>
          <w:rFonts w:ascii="Calibri" w:hAnsi="Calibri" w:eastAsia="Calibri" w:cs="Calibri"/>
          <w:sz w:val="24"/>
          <w:szCs w:val="24"/>
          <w:lang w:val="es-CO"/>
        </w:rPr>
      </w:pPr>
      <w:r>
        <w:rPr>
          <w:rFonts w:ascii="Calibri" w:hAnsi="Calibri" w:eastAsia="Calibri" w:cs="Calibri"/>
          <w:sz w:val="24"/>
          <w:szCs w:val="24"/>
          <w:lang w:val="es-CO"/>
        </w:rPr>
        <w:t xml:space="preserve">Gravas fluviales. </w:t>
      </w:r>
    </w:p>
    <w:p w:rsidR="00527B8C" w:rsidRDefault="00212A57" w14:paraId="31878E5E" w14:textId="77777777">
      <w:pPr>
        <w:pStyle w:val="Sinespaciado"/>
        <w:numPr>
          <w:ilvl w:val="0"/>
          <w:numId w:val="16"/>
        </w:numPr>
        <w:spacing w:line="360" w:lineRule="auto"/>
        <w:ind w:firstLine="302" w:firstLineChars="126"/>
        <w:jc w:val="both"/>
        <w:rPr>
          <w:rFonts w:ascii="Calibri" w:hAnsi="Calibri" w:eastAsia="Calibri" w:cs="Calibri"/>
          <w:sz w:val="24"/>
          <w:szCs w:val="24"/>
          <w:lang w:val="es-CO"/>
        </w:rPr>
      </w:pPr>
      <w:r>
        <w:rPr>
          <w:rFonts w:ascii="Calibri" w:hAnsi="Calibri" w:eastAsia="Calibri" w:cs="Calibri"/>
          <w:sz w:val="24"/>
          <w:szCs w:val="24"/>
          <w:lang w:val="es-CO"/>
        </w:rPr>
        <w:t>Material para construcción regional.</w:t>
      </w:r>
    </w:p>
    <w:p w:rsidR="00527B8C" w:rsidRDefault="00527B8C" w14:paraId="386D8191" w14:textId="77777777">
      <w:pPr>
        <w:pStyle w:val="Sinespaciado"/>
        <w:spacing w:line="360" w:lineRule="auto"/>
        <w:ind w:left="720" w:firstLine="302" w:firstLineChars="126"/>
        <w:jc w:val="both"/>
        <w:rPr>
          <w:rFonts w:ascii="Calibri" w:hAnsi="Calibri" w:eastAsia="Calibri" w:cs="Calibri"/>
          <w:sz w:val="24"/>
          <w:szCs w:val="24"/>
          <w:lang w:val="es-CO"/>
        </w:rPr>
      </w:pPr>
    </w:p>
    <w:p w:rsidR="00527B8C" w:rsidRDefault="00212A57" w14:paraId="5C107436" w14:textId="77777777">
      <w:pPr>
        <w:pStyle w:val="Sinespaciado"/>
        <w:spacing w:line="360" w:lineRule="auto"/>
        <w:ind w:firstLine="304" w:firstLineChars="126"/>
        <w:jc w:val="both"/>
        <w:rPr>
          <w:rFonts w:ascii="Calibri" w:hAnsi="Calibri" w:eastAsia="Calibri" w:cs="Calibri"/>
          <w:sz w:val="24"/>
          <w:szCs w:val="24"/>
          <w:lang w:val="es-CO"/>
        </w:rPr>
      </w:pPr>
      <w:r>
        <w:rPr>
          <w:rFonts w:ascii="Calibri" w:hAnsi="Calibri" w:eastAsia="Calibri" w:cs="Calibri"/>
          <w:b/>
          <w:bCs/>
          <w:sz w:val="24"/>
          <w:szCs w:val="24"/>
          <w:lang w:val="es-CO"/>
        </w:rPr>
        <w:t>Cantos rodados provenientes del basamento</w:t>
      </w:r>
      <w:r>
        <w:rPr>
          <w:rFonts w:ascii="Calibri" w:hAnsi="Calibri" w:eastAsia="Calibri" w:cs="Calibri"/>
          <w:sz w:val="24"/>
          <w:szCs w:val="24"/>
          <w:lang w:val="es-CO"/>
        </w:rPr>
        <w:t xml:space="preserve">. Se describen: </w:t>
      </w:r>
    </w:p>
    <w:p w:rsidR="00527B8C" w:rsidRDefault="00212A57" w14:paraId="7E4721F7" w14:textId="77777777">
      <w:pPr>
        <w:pStyle w:val="Sinespaciado"/>
        <w:numPr>
          <w:ilvl w:val="0"/>
          <w:numId w:val="17"/>
        </w:numPr>
        <w:spacing w:line="360" w:lineRule="auto"/>
        <w:ind w:firstLine="302" w:firstLineChars="126"/>
        <w:jc w:val="both"/>
        <w:rPr>
          <w:rFonts w:ascii="Calibri" w:hAnsi="Calibri" w:eastAsia="Calibri" w:cs="Calibri"/>
          <w:sz w:val="24"/>
          <w:szCs w:val="24"/>
          <w:lang w:val="es-CO"/>
        </w:rPr>
      </w:pPr>
      <w:r>
        <w:rPr>
          <w:rFonts w:ascii="Calibri" w:hAnsi="Calibri" w:eastAsia="Calibri" w:cs="Calibri"/>
          <w:sz w:val="24"/>
          <w:szCs w:val="24"/>
          <w:lang w:val="es-CO"/>
        </w:rPr>
        <w:t xml:space="preserve">Conglomerados de la Formación Roraima con cantos angulares y redondeados de cuarzo hialino en matriz arcillosa. </w:t>
      </w:r>
    </w:p>
    <w:p w:rsidR="00527B8C" w:rsidRDefault="00212A57" w14:paraId="09EF0595" w14:textId="77777777">
      <w:pPr>
        <w:pStyle w:val="Sinespaciado"/>
        <w:numPr>
          <w:ilvl w:val="0"/>
          <w:numId w:val="17"/>
        </w:numPr>
        <w:spacing w:line="360" w:lineRule="auto"/>
        <w:ind w:firstLine="302" w:firstLineChars="126"/>
        <w:jc w:val="both"/>
        <w:rPr>
          <w:rFonts w:ascii="Calibri" w:hAnsi="Calibri" w:eastAsia="Calibri" w:cs="Calibri"/>
          <w:sz w:val="24"/>
          <w:szCs w:val="24"/>
          <w:lang w:val="es-CO"/>
        </w:rPr>
      </w:pPr>
      <w:r>
        <w:rPr>
          <w:rFonts w:ascii="Calibri" w:hAnsi="Calibri" w:eastAsia="Calibri" w:cs="Calibri"/>
          <w:sz w:val="24"/>
          <w:szCs w:val="24"/>
          <w:lang w:val="es-CO"/>
        </w:rPr>
        <w:t xml:space="preserve">Metaconglomerados asociados a procesos de deformación (blastesis potásica). </w:t>
      </w:r>
    </w:p>
    <w:p w:rsidR="00527B8C" w:rsidRDefault="00212A57" w14:paraId="31B5DA8E" w14:textId="77777777">
      <w:pPr>
        <w:pStyle w:val="Sinespaciado"/>
        <w:numPr>
          <w:ilvl w:val="0"/>
          <w:numId w:val="17"/>
        </w:numPr>
        <w:spacing w:line="360" w:lineRule="auto"/>
        <w:ind w:firstLine="302" w:firstLineChars="126"/>
        <w:jc w:val="both"/>
        <w:rPr>
          <w:rFonts w:ascii="Calibri" w:hAnsi="Calibri" w:eastAsia="Calibri" w:cs="Calibri"/>
          <w:sz w:val="24"/>
          <w:szCs w:val="24"/>
          <w:lang w:val="es-CO"/>
        </w:rPr>
      </w:pPr>
      <w:r>
        <w:rPr>
          <w:rFonts w:ascii="Calibri" w:hAnsi="Calibri" w:eastAsia="Calibri" w:cs="Calibri"/>
          <w:sz w:val="24"/>
          <w:szCs w:val="24"/>
          <w:lang w:val="es-CO"/>
        </w:rPr>
        <w:t>Cantos derivados de neises y granitos del Escudo que alimentan ríos como: Guainía; Vaupés; Atabapo.</w:t>
      </w:r>
    </w:p>
    <w:p w:rsidR="00527B8C" w:rsidRDefault="00527B8C" w14:paraId="288E409F" w14:textId="77777777">
      <w:pPr>
        <w:pStyle w:val="Sinespaciado"/>
        <w:spacing w:line="360" w:lineRule="auto"/>
        <w:ind w:left="720" w:firstLine="302" w:firstLineChars="126"/>
        <w:jc w:val="both"/>
        <w:rPr>
          <w:rFonts w:ascii="Calibri" w:hAnsi="Calibri" w:eastAsia="Calibri" w:cs="Calibri"/>
          <w:sz w:val="24"/>
          <w:szCs w:val="24"/>
          <w:lang w:val="es-CO"/>
        </w:rPr>
      </w:pPr>
    </w:p>
    <w:p w:rsidR="00527B8C" w:rsidRDefault="00212A57" w14:paraId="7451CEBA" w14:textId="77777777">
      <w:pPr>
        <w:pStyle w:val="Sinespaciado"/>
        <w:spacing w:line="360" w:lineRule="auto"/>
        <w:ind w:firstLine="302" w:firstLineChars="126"/>
        <w:jc w:val="both"/>
        <w:rPr>
          <w:rFonts w:ascii="Calibri" w:hAnsi="Calibri" w:eastAsia="Calibri" w:cs="Calibri"/>
          <w:sz w:val="24"/>
          <w:szCs w:val="24"/>
          <w:lang w:val="es-CO"/>
        </w:rPr>
      </w:pPr>
      <w:r>
        <w:rPr>
          <w:rFonts w:ascii="Calibri" w:hAnsi="Calibri" w:eastAsia="Calibri" w:cs="Calibri"/>
          <w:sz w:val="24"/>
          <w:szCs w:val="24"/>
          <w:lang w:val="es-CO"/>
        </w:rPr>
        <w:t>Estos cantos rodados constituyen el grueso del material pétreo transportado y redepositado en cauces amazónicos.</w:t>
      </w:r>
    </w:p>
    <w:p w:rsidR="00527B8C" w:rsidRDefault="00527B8C" w14:paraId="0174B3E7" w14:textId="77777777">
      <w:pPr>
        <w:pStyle w:val="Sinespaciado"/>
        <w:spacing w:line="360" w:lineRule="auto"/>
        <w:ind w:firstLine="302" w:firstLineChars="126"/>
        <w:jc w:val="both"/>
        <w:rPr>
          <w:rFonts w:ascii="Calibri" w:hAnsi="Calibri" w:eastAsia="Calibri" w:cs="Calibri"/>
          <w:color w:val="FF0000"/>
          <w:sz w:val="24"/>
          <w:szCs w:val="24"/>
          <w:lang w:val="es-CO"/>
        </w:rPr>
      </w:pPr>
    </w:p>
    <w:p w:rsidR="00527B8C" w:rsidRDefault="00212A57" w14:paraId="5C89DBCF" w14:textId="77777777">
      <w:pPr>
        <w:pStyle w:val="Sinespaciado"/>
        <w:spacing w:line="360" w:lineRule="auto"/>
        <w:ind w:firstLine="304" w:firstLineChars="126"/>
        <w:jc w:val="both"/>
        <w:rPr>
          <w:rFonts w:ascii="Calibri" w:hAnsi="Calibri" w:eastAsia="Calibri" w:cs="Calibri"/>
          <w:b/>
          <w:bCs/>
          <w:sz w:val="24"/>
          <w:szCs w:val="24"/>
          <w:lang w:val="es-CO"/>
        </w:rPr>
      </w:pPr>
      <w:r>
        <w:rPr>
          <w:rFonts w:ascii="Calibri" w:hAnsi="Calibri" w:eastAsia="Calibri" w:cs="Calibri"/>
          <w:b/>
          <w:bCs/>
          <w:sz w:val="24"/>
          <w:szCs w:val="24"/>
          <w:lang w:val="es-CO"/>
        </w:rPr>
        <w:t>Arcillas de planicie aluvial</w:t>
      </w:r>
    </w:p>
    <w:p w:rsidR="00527B8C" w:rsidRDefault="00212A57" w14:paraId="2FC282B8" w14:textId="77777777">
      <w:pPr>
        <w:pStyle w:val="Sinespaciado"/>
        <w:numPr>
          <w:ilvl w:val="0"/>
          <w:numId w:val="18"/>
        </w:numPr>
        <w:spacing w:line="360" w:lineRule="auto"/>
        <w:ind w:firstLine="302" w:firstLineChars="126"/>
        <w:jc w:val="both"/>
        <w:rPr>
          <w:rFonts w:ascii="Calibri" w:hAnsi="Calibri" w:eastAsia="Calibri" w:cs="Calibri"/>
          <w:sz w:val="24"/>
          <w:szCs w:val="24"/>
          <w:lang w:val="es-CO"/>
        </w:rPr>
      </w:pPr>
      <w:r>
        <w:rPr>
          <w:rFonts w:ascii="Calibri" w:hAnsi="Calibri" w:eastAsia="Calibri" w:cs="Calibri"/>
          <w:sz w:val="24"/>
          <w:szCs w:val="24"/>
          <w:lang w:val="es-CO"/>
        </w:rPr>
        <w:t xml:space="preserve">Depósitos cuaternarios arcillosos extensos, generados por sedimentación fina en las planicies amazónicas y llanuras de inundación. </w:t>
      </w:r>
    </w:p>
    <w:p w:rsidR="00527B8C" w:rsidRDefault="00212A57" w14:paraId="541DA39C" w14:textId="77777777">
      <w:pPr>
        <w:pStyle w:val="Sinespaciado"/>
        <w:numPr>
          <w:ilvl w:val="0"/>
          <w:numId w:val="18"/>
        </w:numPr>
        <w:spacing w:line="360" w:lineRule="auto"/>
        <w:ind w:firstLine="302" w:firstLineChars="126"/>
        <w:jc w:val="both"/>
        <w:rPr>
          <w:rFonts w:ascii="Calibri" w:hAnsi="Calibri" w:eastAsia="Calibri" w:cs="Calibri"/>
          <w:sz w:val="24"/>
          <w:szCs w:val="24"/>
          <w:lang w:val="es-CO"/>
        </w:rPr>
      </w:pPr>
      <w:r>
        <w:rPr>
          <w:rFonts w:ascii="Calibri" w:hAnsi="Calibri" w:eastAsia="Calibri" w:cs="Calibri"/>
          <w:sz w:val="24"/>
          <w:szCs w:val="24"/>
          <w:lang w:val="es-CO"/>
        </w:rPr>
        <w:t xml:space="preserve">Arcillas en limolitas de Araracuara presentan mineralogías como: </w:t>
      </w:r>
    </w:p>
    <w:p w:rsidR="00527B8C" w:rsidRDefault="00212A57" w14:paraId="101A7E8D" w14:textId="77777777">
      <w:pPr>
        <w:pStyle w:val="Sinespaciado"/>
        <w:numPr>
          <w:ilvl w:val="0"/>
          <w:numId w:val="19"/>
        </w:numPr>
        <w:spacing w:line="360" w:lineRule="auto"/>
        <w:ind w:firstLine="302" w:firstLineChars="126"/>
        <w:jc w:val="both"/>
        <w:rPr>
          <w:rFonts w:ascii="Calibri" w:hAnsi="Calibri" w:eastAsia="Calibri" w:cs="Calibri"/>
          <w:sz w:val="24"/>
          <w:szCs w:val="24"/>
          <w:lang w:val="es-CO"/>
        </w:rPr>
      </w:pPr>
      <w:r>
        <w:rPr>
          <w:rFonts w:ascii="Calibri" w:hAnsi="Calibri" w:eastAsia="Calibri" w:cs="Calibri"/>
          <w:sz w:val="24"/>
          <w:szCs w:val="24"/>
          <w:lang w:val="es-CO"/>
        </w:rPr>
        <w:t xml:space="preserve">Muscovita. </w:t>
      </w:r>
    </w:p>
    <w:p w:rsidR="00527B8C" w:rsidRDefault="00212A57" w14:paraId="6375A9C2" w14:textId="77777777">
      <w:pPr>
        <w:pStyle w:val="Sinespaciado"/>
        <w:numPr>
          <w:ilvl w:val="0"/>
          <w:numId w:val="19"/>
        </w:numPr>
        <w:spacing w:line="360" w:lineRule="auto"/>
        <w:ind w:firstLine="302" w:firstLineChars="126"/>
        <w:jc w:val="both"/>
        <w:rPr>
          <w:rFonts w:ascii="Calibri" w:hAnsi="Calibri" w:eastAsia="Calibri" w:cs="Calibri"/>
          <w:sz w:val="24"/>
          <w:szCs w:val="24"/>
          <w:lang w:val="es-CO"/>
        </w:rPr>
      </w:pPr>
      <w:r>
        <w:rPr>
          <w:rFonts w:ascii="Calibri" w:hAnsi="Calibri" w:eastAsia="Calibri" w:cs="Calibri"/>
          <w:sz w:val="24"/>
          <w:szCs w:val="24"/>
          <w:lang w:val="es-CO"/>
        </w:rPr>
        <w:t xml:space="preserve">Sericita. </w:t>
      </w:r>
    </w:p>
    <w:p w:rsidR="00527B8C" w:rsidRDefault="00212A57" w14:paraId="33FE5CB5" w14:textId="77777777">
      <w:pPr>
        <w:pStyle w:val="Sinespaciado"/>
        <w:numPr>
          <w:ilvl w:val="0"/>
          <w:numId w:val="19"/>
        </w:numPr>
        <w:spacing w:line="360" w:lineRule="auto"/>
        <w:ind w:firstLine="302" w:firstLineChars="126"/>
        <w:jc w:val="both"/>
        <w:rPr>
          <w:rFonts w:ascii="Calibri" w:hAnsi="Calibri" w:eastAsia="Calibri" w:cs="Calibri"/>
          <w:sz w:val="24"/>
          <w:szCs w:val="24"/>
          <w:lang w:val="es-CO"/>
        </w:rPr>
      </w:pPr>
      <w:r>
        <w:rPr>
          <w:rFonts w:ascii="Calibri" w:hAnsi="Calibri" w:eastAsia="Calibri" w:cs="Calibri"/>
          <w:sz w:val="24"/>
          <w:szCs w:val="24"/>
          <w:lang w:val="es-CO"/>
        </w:rPr>
        <w:t>Matriz arcillosa verdosa.</w:t>
      </w:r>
    </w:p>
    <w:p w:rsidR="00527B8C" w:rsidRDefault="00527B8C" w14:paraId="40374E71" w14:textId="77777777">
      <w:pPr>
        <w:pStyle w:val="Sinespaciado"/>
        <w:spacing w:line="360" w:lineRule="auto"/>
        <w:ind w:firstLine="302" w:firstLineChars="126"/>
        <w:jc w:val="both"/>
        <w:rPr>
          <w:rFonts w:ascii="Calibri" w:hAnsi="Calibri" w:eastAsia="Calibri" w:cs="Calibri"/>
          <w:sz w:val="24"/>
          <w:szCs w:val="24"/>
          <w:lang w:val="es-CO"/>
        </w:rPr>
      </w:pPr>
    </w:p>
    <w:p w:rsidR="00527B8C" w:rsidRDefault="00212A57" w14:paraId="24C911DB" w14:textId="77777777">
      <w:pPr>
        <w:pStyle w:val="Sinespaciado"/>
        <w:spacing w:line="360" w:lineRule="auto"/>
        <w:ind w:firstLine="302" w:firstLineChars="126"/>
        <w:jc w:val="both"/>
        <w:rPr>
          <w:rFonts w:ascii="Calibri" w:hAnsi="Calibri" w:eastAsia="Calibri" w:cs="Calibri"/>
          <w:sz w:val="24"/>
          <w:szCs w:val="24"/>
          <w:lang w:val="es-CO"/>
        </w:rPr>
      </w:pPr>
      <w:r>
        <w:rPr>
          <w:rFonts w:ascii="Calibri" w:hAnsi="Calibri" w:eastAsia="Calibri" w:cs="Calibri"/>
          <w:sz w:val="24"/>
          <w:szCs w:val="24"/>
          <w:lang w:val="es-CO"/>
        </w:rPr>
        <w:t xml:space="preserve">Estas arcillas son equivalentes geológicos de: </w:t>
      </w:r>
    </w:p>
    <w:p w:rsidR="00527B8C" w:rsidRDefault="00212A57" w14:paraId="50BEB901" w14:textId="77777777">
      <w:pPr>
        <w:pStyle w:val="Sinespaciado"/>
        <w:numPr>
          <w:ilvl w:val="0"/>
          <w:numId w:val="20"/>
        </w:numPr>
        <w:spacing w:line="360" w:lineRule="auto"/>
        <w:ind w:firstLine="302" w:firstLineChars="126"/>
        <w:jc w:val="both"/>
        <w:rPr>
          <w:rFonts w:ascii="Calibri" w:hAnsi="Calibri" w:eastAsia="Calibri" w:cs="Calibri"/>
          <w:sz w:val="24"/>
          <w:szCs w:val="24"/>
          <w:lang w:val="es-CO"/>
        </w:rPr>
      </w:pPr>
      <w:r>
        <w:rPr>
          <w:rFonts w:ascii="Calibri" w:hAnsi="Calibri" w:eastAsia="Calibri" w:cs="Calibri"/>
          <w:sz w:val="24"/>
          <w:szCs w:val="24"/>
          <w:lang w:val="es-CO"/>
        </w:rPr>
        <w:t xml:space="preserve">Arcillas aluviales para ladrillo. </w:t>
      </w:r>
    </w:p>
    <w:p w:rsidR="00527B8C" w:rsidRDefault="00212A57" w14:paraId="3FCC28EA" w14:textId="77777777">
      <w:pPr>
        <w:pStyle w:val="Sinespaciado"/>
        <w:numPr>
          <w:ilvl w:val="0"/>
          <w:numId w:val="20"/>
        </w:numPr>
        <w:spacing w:line="360" w:lineRule="auto"/>
        <w:ind w:firstLine="302" w:firstLineChars="126"/>
        <w:jc w:val="both"/>
        <w:rPr>
          <w:rFonts w:ascii="Calibri" w:hAnsi="Calibri" w:eastAsia="Calibri" w:cs="Calibri"/>
          <w:sz w:val="24"/>
          <w:szCs w:val="24"/>
          <w:lang w:val="es-CO"/>
        </w:rPr>
      </w:pPr>
      <w:r>
        <w:rPr>
          <w:rFonts w:ascii="Calibri" w:hAnsi="Calibri" w:eastAsia="Calibri" w:cs="Calibri"/>
          <w:sz w:val="24"/>
          <w:szCs w:val="24"/>
          <w:lang w:val="es-CO"/>
        </w:rPr>
        <w:t xml:space="preserve">Arcillas lacustres. </w:t>
      </w:r>
    </w:p>
    <w:p w:rsidR="00527B8C" w:rsidRDefault="00212A57" w14:paraId="164A72C6" w14:textId="77777777">
      <w:pPr>
        <w:pStyle w:val="Sinespaciado"/>
        <w:numPr>
          <w:ilvl w:val="0"/>
          <w:numId w:val="20"/>
        </w:numPr>
        <w:spacing w:line="360" w:lineRule="auto"/>
        <w:ind w:firstLine="302" w:firstLineChars="126"/>
        <w:jc w:val="both"/>
        <w:rPr>
          <w:rFonts w:ascii="Calibri" w:hAnsi="Calibri" w:eastAsia="Calibri" w:cs="Calibri"/>
          <w:sz w:val="24"/>
          <w:szCs w:val="24"/>
          <w:lang w:val="es-CO"/>
        </w:rPr>
      </w:pPr>
      <w:r>
        <w:rPr>
          <w:rFonts w:ascii="Calibri" w:hAnsi="Calibri" w:eastAsia="Calibri" w:cs="Calibri"/>
          <w:sz w:val="24"/>
          <w:szCs w:val="24"/>
          <w:lang w:val="es-CO"/>
        </w:rPr>
        <w:t>Depósitos menores utilizados como material de construcción local</w:t>
      </w:r>
    </w:p>
    <w:p w:rsidR="00527B8C" w:rsidRDefault="00527B8C" w14:paraId="4121E0A2" w14:textId="77777777">
      <w:pPr>
        <w:pStyle w:val="Sinespaciado"/>
        <w:spacing w:line="360" w:lineRule="auto"/>
        <w:ind w:firstLine="302" w:firstLineChars="126"/>
        <w:jc w:val="both"/>
        <w:rPr>
          <w:rFonts w:ascii="Calibri" w:hAnsi="Calibri" w:eastAsia="Calibri" w:cs="Calibri"/>
          <w:sz w:val="24"/>
          <w:szCs w:val="24"/>
          <w:lang w:val="es-CO"/>
        </w:rPr>
      </w:pPr>
    </w:p>
    <w:p w:rsidR="00527B8C" w:rsidRDefault="00212A57" w14:paraId="40E9B1A3" w14:textId="77777777">
      <w:pPr>
        <w:pStyle w:val="Ttulo2"/>
        <w:numPr>
          <w:ilvl w:val="1"/>
          <w:numId w:val="7"/>
        </w:numPr>
        <w:spacing w:before="0" w:line="360" w:lineRule="auto"/>
        <w:jc w:val="both"/>
        <w:rPr>
          <w:rFonts w:ascii="Calibri" w:hAnsi="Calibri" w:eastAsia="Calibri" w:cs="Calibri"/>
          <w:sz w:val="24"/>
          <w:szCs w:val="24"/>
          <w:lang w:val="es-CO"/>
        </w:rPr>
      </w:pPr>
      <w:bookmarkStart w:name="_Toc1981485523" w:id="1056536952"/>
      <w:r w:rsidRPr="53DEF7DD" w:rsidR="670101B5">
        <w:rPr>
          <w:rFonts w:ascii="Calibri" w:hAnsi="Calibri" w:eastAsia="Calibri" w:cs="Calibri"/>
          <w:sz w:val="24"/>
          <w:szCs w:val="24"/>
          <w:lang w:val="es-CO"/>
        </w:rPr>
        <w:t>Características principales</w:t>
      </w:r>
      <w:bookmarkEnd w:id="1056536952"/>
    </w:p>
    <w:p w:rsidR="00527B8C" w:rsidRDefault="00212A57" w14:paraId="6050897D" w14:textId="77777777">
      <w:pPr>
        <w:numPr>
          <w:ilvl w:val="0"/>
          <w:numId w:val="21"/>
        </w:numPr>
        <w:spacing w:after="0" w:line="360" w:lineRule="auto"/>
        <w:ind w:left="363" w:firstLine="720"/>
        <w:jc w:val="both"/>
        <w:rPr>
          <w:rFonts w:cs="Calibri"/>
          <w:sz w:val="24"/>
          <w:szCs w:val="24"/>
          <w:lang w:val="es-CO"/>
        </w:rPr>
      </w:pPr>
      <w:r>
        <w:rPr>
          <w:rFonts w:cs="Calibri"/>
          <w:b/>
          <w:bCs/>
          <w:sz w:val="24"/>
          <w:szCs w:val="24"/>
          <w:lang w:val="es-CO"/>
        </w:rPr>
        <w:t>Composición</w:t>
      </w:r>
      <w:r>
        <w:rPr>
          <w:rFonts w:cs="Calibri"/>
          <w:sz w:val="24"/>
          <w:szCs w:val="24"/>
          <w:lang w:val="es-CO"/>
        </w:rPr>
        <w:t>: fragmentos de cuarzo, feldespato, fragmentos líticos y minerales resistentes a la abrasión.</w:t>
      </w:r>
    </w:p>
    <w:p w:rsidR="00527B8C" w:rsidRDefault="00212A57" w14:paraId="0CB760FF" w14:textId="77777777">
      <w:pPr>
        <w:numPr>
          <w:ilvl w:val="0"/>
          <w:numId w:val="21"/>
        </w:numPr>
        <w:spacing w:after="0" w:line="360" w:lineRule="auto"/>
        <w:ind w:left="363" w:firstLine="720"/>
        <w:jc w:val="both"/>
        <w:rPr>
          <w:rFonts w:cs="Calibri"/>
          <w:sz w:val="24"/>
          <w:szCs w:val="24"/>
          <w:lang w:val="es-CO"/>
        </w:rPr>
      </w:pPr>
      <w:r>
        <w:rPr>
          <w:rFonts w:cs="Calibri"/>
          <w:b/>
          <w:bCs/>
          <w:sz w:val="24"/>
          <w:szCs w:val="24"/>
          <w:lang w:val="es-CO"/>
        </w:rPr>
        <w:t>Granulometría</w:t>
      </w:r>
      <w:r>
        <w:rPr>
          <w:rFonts w:cs="Calibri"/>
          <w:sz w:val="24"/>
          <w:szCs w:val="24"/>
          <w:lang w:val="es-CO"/>
        </w:rPr>
        <w:t>: variable, desde arenas finas hasta gravas gruesas.</w:t>
      </w:r>
    </w:p>
    <w:p w:rsidR="00527B8C" w:rsidRDefault="00212A57" w14:paraId="7210CF48" w14:textId="77777777">
      <w:pPr>
        <w:numPr>
          <w:ilvl w:val="0"/>
          <w:numId w:val="21"/>
        </w:numPr>
        <w:spacing w:after="0" w:line="360" w:lineRule="auto"/>
        <w:ind w:left="363" w:firstLine="720"/>
        <w:jc w:val="both"/>
        <w:rPr>
          <w:rFonts w:cs="Calibri"/>
          <w:sz w:val="24"/>
          <w:szCs w:val="24"/>
          <w:lang w:val="es-CO"/>
        </w:rPr>
      </w:pPr>
      <w:r>
        <w:rPr>
          <w:rFonts w:cs="Calibri"/>
          <w:b/>
          <w:bCs/>
          <w:sz w:val="24"/>
          <w:szCs w:val="24"/>
          <w:lang w:val="es-CO"/>
        </w:rPr>
        <w:t>Propiedades</w:t>
      </w:r>
      <w:r>
        <w:rPr>
          <w:rFonts w:cs="Calibri"/>
          <w:sz w:val="24"/>
          <w:szCs w:val="24"/>
          <w:lang w:val="es-CO"/>
        </w:rPr>
        <w:t xml:space="preserve">: alta resistencia mecánica, buena trabajabilidad en mezclas de concreto, baja plasticidad. </w:t>
      </w:r>
    </w:p>
    <w:p w:rsidR="00527B8C" w:rsidRDefault="00527B8C" w14:paraId="09ECE34A" w14:textId="77777777">
      <w:pPr>
        <w:spacing w:after="0" w:line="360" w:lineRule="auto"/>
        <w:jc w:val="both"/>
        <w:rPr>
          <w:rFonts w:cs="Calibri"/>
          <w:sz w:val="24"/>
          <w:szCs w:val="24"/>
          <w:lang w:val="es-CO"/>
        </w:rPr>
      </w:pPr>
    </w:p>
    <w:p w:rsidR="00527B8C" w:rsidRDefault="00212A57" w14:paraId="5FD8312C" w14:textId="77777777">
      <w:pPr>
        <w:pStyle w:val="Ttulo2"/>
        <w:numPr>
          <w:ilvl w:val="1"/>
          <w:numId w:val="7"/>
        </w:numPr>
        <w:spacing w:before="0" w:line="360" w:lineRule="auto"/>
        <w:jc w:val="both"/>
        <w:rPr>
          <w:rFonts w:ascii="Calibri" w:hAnsi="Calibri" w:eastAsia="Calibri" w:cs="Calibri"/>
          <w:sz w:val="24"/>
          <w:szCs w:val="24"/>
          <w:lang w:val="es-CO"/>
        </w:rPr>
      </w:pPr>
      <w:bookmarkStart w:name="_Toc561633747" w:id="1750668783"/>
      <w:r w:rsidRPr="53DEF7DD" w:rsidR="670101B5">
        <w:rPr>
          <w:rFonts w:ascii="Calibri" w:hAnsi="Calibri" w:eastAsia="Calibri" w:cs="Calibri"/>
          <w:sz w:val="24"/>
          <w:szCs w:val="24"/>
          <w:lang w:val="es-CO"/>
        </w:rPr>
        <w:t>Propiedades clave</w:t>
      </w:r>
      <w:bookmarkEnd w:id="1750668783"/>
    </w:p>
    <w:p w:rsidR="00527B8C" w:rsidRDefault="00212A57" w14:paraId="03E35408" w14:textId="77777777">
      <w:pPr>
        <w:numPr>
          <w:ilvl w:val="0"/>
          <w:numId w:val="22"/>
        </w:numPr>
        <w:spacing w:after="0" w:line="360" w:lineRule="auto"/>
        <w:ind w:left="1083" w:hanging="720"/>
        <w:jc w:val="both"/>
        <w:rPr>
          <w:rFonts w:cs="Calibri"/>
          <w:sz w:val="24"/>
          <w:szCs w:val="24"/>
          <w:lang w:val="es-CO"/>
        </w:rPr>
      </w:pPr>
      <w:r>
        <w:rPr>
          <w:rFonts w:cs="Calibri"/>
          <w:b/>
          <w:bCs/>
          <w:sz w:val="24"/>
          <w:szCs w:val="24"/>
          <w:lang w:val="es-CO"/>
        </w:rPr>
        <w:t>Resistencia mecánica</w:t>
      </w:r>
      <w:r>
        <w:rPr>
          <w:rFonts w:cs="Calibri"/>
          <w:sz w:val="24"/>
          <w:szCs w:val="24"/>
          <w:lang w:val="es-CO"/>
        </w:rPr>
        <w:t xml:space="preserve"> (compresión, tracción).</w:t>
      </w:r>
    </w:p>
    <w:p w:rsidR="00527B8C" w:rsidRDefault="00212A57" w14:paraId="431B71BA" w14:textId="77777777">
      <w:pPr>
        <w:numPr>
          <w:ilvl w:val="0"/>
          <w:numId w:val="22"/>
        </w:numPr>
        <w:spacing w:after="0" w:line="360" w:lineRule="auto"/>
        <w:ind w:left="1083" w:hanging="720"/>
        <w:jc w:val="both"/>
        <w:rPr>
          <w:rFonts w:cs="Calibri"/>
          <w:sz w:val="24"/>
          <w:szCs w:val="24"/>
          <w:lang w:val="es-CO"/>
        </w:rPr>
      </w:pPr>
      <w:r>
        <w:rPr>
          <w:rFonts w:cs="Calibri"/>
          <w:b/>
          <w:bCs/>
          <w:sz w:val="24"/>
          <w:szCs w:val="24"/>
          <w:lang w:val="es-CO"/>
        </w:rPr>
        <w:t>Durabilidad</w:t>
      </w:r>
      <w:r>
        <w:rPr>
          <w:rFonts w:cs="Calibri"/>
          <w:sz w:val="24"/>
          <w:szCs w:val="24"/>
          <w:lang w:val="es-CO"/>
        </w:rPr>
        <w:t xml:space="preserve"> frente a agentes químicos y climáticos.</w:t>
      </w:r>
    </w:p>
    <w:p w:rsidR="00527B8C" w:rsidRDefault="00212A57" w14:paraId="0EE6B69A" w14:textId="77777777">
      <w:pPr>
        <w:numPr>
          <w:ilvl w:val="0"/>
          <w:numId w:val="22"/>
        </w:numPr>
        <w:spacing w:after="0" w:line="360" w:lineRule="auto"/>
        <w:ind w:left="1083" w:hanging="720"/>
        <w:jc w:val="both"/>
        <w:rPr>
          <w:rFonts w:cs="Calibri"/>
          <w:sz w:val="24"/>
          <w:szCs w:val="24"/>
          <w:lang w:val="es-CO"/>
        </w:rPr>
      </w:pPr>
      <w:r>
        <w:rPr>
          <w:rFonts w:cs="Calibri"/>
          <w:b/>
          <w:bCs/>
          <w:sz w:val="24"/>
          <w:szCs w:val="24"/>
          <w:lang w:val="es-CO"/>
        </w:rPr>
        <w:t>Conductividad térmica</w:t>
      </w:r>
      <w:r>
        <w:rPr>
          <w:rFonts w:cs="Calibri"/>
          <w:sz w:val="24"/>
          <w:szCs w:val="24"/>
          <w:lang w:val="es-CO"/>
        </w:rPr>
        <w:t xml:space="preserve"> y </w:t>
      </w:r>
      <w:r>
        <w:rPr>
          <w:rFonts w:cs="Calibri"/>
          <w:b/>
          <w:bCs/>
          <w:sz w:val="24"/>
          <w:szCs w:val="24"/>
          <w:lang w:val="es-CO"/>
        </w:rPr>
        <w:t>aislamiento acústico</w:t>
      </w:r>
      <w:r>
        <w:rPr>
          <w:rFonts w:cs="Calibri"/>
          <w:sz w:val="24"/>
          <w:szCs w:val="24"/>
          <w:lang w:val="es-CO"/>
        </w:rPr>
        <w:t>.</w:t>
      </w:r>
    </w:p>
    <w:p w:rsidR="00527B8C" w:rsidRDefault="00212A57" w14:paraId="43F7F71B" w14:textId="77777777">
      <w:pPr>
        <w:numPr>
          <w:ilvl w:val="0"/>
          <w:numId w:val="22"/>
        </w:numPr>
        <w:spacing w:after="0" w:line="360" w:lineRule="auto"/>
        <w:ind w:left="1083" w:hanging="720"/>
        <w:jc w:val="both"/>
        <w:rPr>
          <w:rFonts w:cs="Calibri"/>
          <w:sz w:val="24"/>
          <w:szCs w:val="24"/>
          <w:lang w:val="es-CO"/>
        </w:rPr>
      </w:pPr>
      <w:r>
        <w:rPr>
          <w:rFonts w:cs="Calibri"/>
          <w:b/>
          <w:bCs/>
          <w:sz w:val="24"/>
          <w:szCs w:val="24"/>
          <w:lang w:val="es-CO"/>
        </w:rPr>
        <w:t>Plasticidad</w:t>
      </w:r>
      <w:r>
        <w:rPr>
          <w:rFonts w:cs="Calibri"/>
          <w:sz w:val="24"/>
          <w:szCs w:val="24"/>
          <w:lang w:val="es-CO"/>
        </w:rPr>
        <w:t xml:space="preserve"> y </w:t>
      </w:r>
      <w:r>
        <w:rPr>
          <w:rFonts w:cs="Calibri"/>
          <w:b/>
          <w:bCs/>
          <w:sz w:val="24"/>
          <w:szCs w:val="24"/>
          <w:lang w:val="es-CO"/>
        </w:rPr>
        <w:t>manejabilidad</w:t>
      </w:r>
      <w:r>
        <w:rPr>
          <w:rFonts w:cs="Calibri"/>
          <w:sz w:val="24"/>
          <w:szCs w:val="24"/>
          <w:lang w:val="es-CO"/>
        </w:rPr>
        <w:t xml:space="preserve"> para procesos constructivos. </w:t>
      </w:r>
    </w:p>
    <w:p w:rsidR="00527B8C" w:rsidRDefault="00527B8C" w14:paraId="1ACF9363" w14:textId="77777777">
      <w:pPr>
        <w:spacing w:after="0" w:line="360" w:lineRule="auto"/>
        <w:jc w:val="both"/>
        <w:rPr>
          <w:rFonts w:cs="Calibri"/>
          <w:b/>
          <w:bCs/>
          <w:sz w:val="24"/>
          <w:szCs w:val="24"/>
          <w:lang w:val="es-CO"/>
        </w:rPr>
      </w:pPr>
    </w:p>
    <w:p w:rsidR="00527B8C" w:rsidRDefault="00212A57" w14:paraId="285608DE" w14:textId="77777777">
      <w:pPr>
        <w:pStyle w:val="Ttulo2"/>
        <w:numPr>
          <w:ilvl w:val="1"/>
          <w:numId w:val="7"/>
        </w:numPr>
        <w:spacing w:before="0" w:line="360" w:lineRule="auto"/>
        <w:jc w:val="both"/>
        <w:rPr>
          <w:rFonts w:ascii="Calibri" w:hAnsi="Calibri" w:eastAsia="Calibri" w:cs="Calibri"/>
          <w:sz w:val="24"/>
          <w:szCs w:val="24"/>
          <w:lang w:val="es-CO"/>
        </w:rPr>
      </w:pPr>
      <w:bookmarkStart w:name="_Toc1435297849" w:id="72076916"/>
      <w:r w:rsidRPr="53DEF7DD" w:rsidR="670101B5">
        <w:rPr>
          <w:rFonts w:ascii="Calibri" w:hAnsi="Calibri" w:eastAsia="Calibri" w:cs="Calibri"/>
          <w:sz w:val="24"/>
          <w:szCs w:val="24"/>
          <w:lang w:val="es-CO"/>
        </w:rPr>
        <w:t>Importancia en construcción</w:t>
      </w:r>
      <w:bookmarkEnd w:id="72076916"/>
    </w:p>
    <w:p w:rsidR="00527B8C" w:rsidRDefault="00212A57" w14:paraId="079F0691" w14:textId="77777777">
      <w:pPr>
        <w:spacing w:after="0" w:line="360" w:lineRule="auto"/>
        <w:ind w:firstLine="302" w:firstLineChars="126"/>
        <w:jc w:val="both"/>
        <w:rPr>
          <w:rFonts w:cs="Calibri"/>
          <w:sz w:val="24"/>
          <w:szCs w:val="24"/>
          <w:lang w:val="es-CO"/>
        </w:rPr>
      </w:pPr>
      <w:r>
        <w:rPr>
          <w:rFonts w:cs="Calibri"/>
          <w:sz w:val="24"/>
          <w:szCs w:val="24"/>
          <w:lang w:val="es-CO"/>
        </w:rPr>
        <w:t>Son insumos esenciales para:</w:t>
      </w:r>
    </w:p>
    <w:p w:rsidR="00527B8C" w:rsidRDefault="00212A57" w14:paraId="7ACB9AF3" w14:textId="77777777">
      <w:pPr>
        <w:numPr>
          <w:ilvl w:val="0"/>
          <w:numId w:val="23"/>
        </w:numPr>
        <w:spacing w:after="0" w:line="360" w:lineRule="auto"/>
        <w:ind w:firstLine="302" w:firstLineChars="126"/>
        <w:jc w:val="both"/>
        <w:rPr>
          <w:rFonts w:cs="Calibri"/>
          <w:sz w:val="24"/>
          <w:szCs w:val="24"/>
          <w:lang w:val="es-CO"/>
        </w:rPr>
      </w:pPr>
      <w:r>
        <w:rPr>
          <w:rFonts w:cs="Calibri"/>
          <w:sz w:val="24"/>
          <w:szCs w:val="24"/>
          <w:lang w:val="es-CO"/>
        </w:rPr>
        <w:t>Concreto hidráulico y morteros.</w:t>
      </w:r>
    </w:p>
    <w:p w:rsidR="00527B8C" w:rsidRDefault="00212A57" w14:paraId="700457E8" w14:textId="77777777">
      <w:pPr>
        <w:numPr>
          <w:ilvl w:val="0"/>
          <w:numId w:val="23"/>
        </w:numPr>
        <w:spacing w:after="0" w:line="360" w:lineRule="auto"/>
        <w:ind w:firstLine="302" w:firstLineChars="126"/>
        <w:jc w:val="both"/>
        <w:rPr>
          <w:rFonts w:cs="Calibri"/>
          <w:sz w:val="24"/>
          <w:szCs w:val="24"/>
          <w:lang w:val="es-CO"/>
        </w:rPr>
      </w:pPr>
      <w:r>
        <w:rPr>
          <w:rFonts w:cs="Calibri"/>
          <w:sz w:val="24"/>
          <w:szCs w:val="24"/>
          <w:lang w:val="es-CO"/>
        </w:rPr>
        <w:t>Bases y sub-bases en vías.</w:t>
      </w:r>
    </w:p>
    <w:p w:rsidR="00527B8C" w:rsidRDefault="00212A57" w14:paraId="71AD5464" w14:textId="77777777">
      <w:pPr>
        <w:numPr>
          <w:ilvl w:val="0"/>
          <w:numId w:val="23"/>
        </w:numPr>
        <w:spacing w:after="0" w:line="360" w:lineRule="auto"/>
        <w:ind w:firstLine="302" w:firstLineChars="126"/>
        <w:jc w:val="both"/>
        <w:rPr>
          <w:rFonts w:cs="Calibri"/>
          <w:sz w:val="24"/>
          <w:szCs w:val="24"/>
          <w:lang w:val="es-CO"/>
        </w:rPr>
      </w:pPr>
      <w:r>
        <w:rPr>
          <w:rFonts w:cs="Calibri"/>
          <w:sz w:val="24"/>
          <w:szCs w:val="24"/>
          <w:lang w:val="es-CO"/>
        </w:rPr>
        <w:t>Obras de protección fluvial y control de erosión.</w:t>
      </w:r>
    </w:p>
    <w:p w:rsidR="00527B8C" w:rsidRDefault="00212A57" w14:paraId="218B7CF0" w14:textId="77777777">
      <w:pPr>
        <w:numPr>
          <w:ilvl w:val="0"/>
          <w:numId w:val="23"/>
        </w:numPr>
        <w:spacing w:after="0" w:line="360" w:lineRule="auto"/>
        <w:ind w:firstLine="302" w:firstLineChars="126"/>
        <w:jc w:val="both"/>
        <w:rPr>
          <w:rFonts w:cs="Calibri"/>
          <w:sz w:val="24"/>
          <w:szCs w:val="24"/>
          <w:lang w:val="es-CO"/>
        </w:rPr>
      </w:pPr>
      <w:r>
        <w:rPr>
          <w:rFonts w:cs="Calibri"/>
          <w:sz w:val="24"/>
          <w:szCs w:val="24"/>
          <w:lang w:val="es-CO"/>
        </w:rPr>
        <w:t xml:space="preserve">Su extracción debe cumplir con </w:t>
      </w:r>
      <w:r>
        <w:rPr>
          <w:rFonts w:cs="Calibri"/>
          <w:b/>
          <w:bCs/>
          <w:sz w:val="24"/>
          <w:szCs w:val="24"/>
          <w:lang w:val="es-CO"/>
        </w:rPr>
        <w:t>normas ambientales y mineras</w:t>
      </w:r>
      <w:r>
        <w:rPr>
          <w:rFonts w:cs="Calibri"/>
          <w:sz w:val="24"/>
          <w:szCs w:val="24"/>
          <w:lang w:val="es-CO"/>
        </w:rPr>
        <w:t xml:space="preserve">, dado el impacto potencial sobre cauces y ecosistemas. </w:t>
      </w:r>
      <w:r>
        <w:rPr>
          <w:rStyle w:val="Refdenotaalpie"/>
          <w:rFonts w:cs="Calibri"/>
          <w:sz w:val="24"/>
          <w:szCs w:val="24"/>
          <w:lang w:val="es-CO"/>
        </w:rPr>
        <w:footnoteReference w:id="6"/>
      </w:r>
    </w:p>
    <w:p w:rsidR="00527B8C" w:rsidRDefault="00527B8C" w14:paraId="7F44B95B" w14:textId="77777777">
      <w:pPr>
        <w:spacing w:after="0" w:line="360" w:lineRule="auto"/>
        <w:jc w:val="both"/>
        <w:rPr>
          <w:rFonts w:cs="Calibri"/>
          <w:sz w:val="24"/>
          <w:szCs w:val="24"/>
          <w:lang w:val="es-CO"/>
        </w:rPr>
      </w:pPr>
    </w:p>
    <w:p w:rsidR="00527B8C" w:rsidRDefault="00212A57" w14:paraId="0A87E4C7" w14:textId="77777777">
      <w:pPr>
        <w:pStyle w:val="Ttulo2"/>
        <w:numPr>
          <w:ilvl w:val="1"/>
          <w:numId w:val="7"/>
        </w:numPr>
        <w:spacing w:before="0" w:line="360" w:lineRule="auto"/>
        <w:jc w:val="both"/>
        <w:rPr>
          <w:rFonts w:ascii="Calibri" w:hAnsi="Calibri" w:eastAsia="Calibri" w:cs="Calibri"/>
          <w:sz w:val="24"/>
          <w:szCs w:val="24"/>
          <w:lang w:val="es-CO"/>
        </w:rPr>
      </w:pPr>
      <w:bookmarkStart w:name="_Toc374231183" w:id="927821899"/>
      <w:r w:rsidRPr="53DEF7DD" w:rsidR="670101B5">
        <w:rPr>
          <w:rFonts w:ascii="Calibri" w:hAnsi="Calibri" w:eastAsia="Calibri" w:cs="Calibri"/>
          <w:sz w:val="24"/>
          <w:szCs w:val="24"/>
          <w:lang w:val="es-CO"/>
        </w:rPr>
        <w:t>Normativa aplicable en Colombia</w:t>
      </w:r>
      <w:bookmarkEnd w:id="927821899"/>
    </w:p>
    <w:p w:rsidR="00527B8C" w:rsidRDefault="00212A57" w14:paraId="1A605E91" w14:textId="77777777">
      <w:pPr>
        <w:numPr>
          <w:ilvl w:val="0"/>
          <w:numId w:val="24"/>
        </w:numPr>
        <w:spacing w:after="0" w:line="360" w:lineRule="auto"/>
        <w:ind w:firstLine="304" w:firstLineChars="126"/>
        <w:jc w:val="both"/>
        <w:rPr>
          <w:rFonts w:cs="Calibri"/>
          <w:sz w:val="24"/>
          <w:szCs w:val="24"/>
          <w:lang w:val="es-CO"/>
        </w:rPr>
      </w:pPr>
      <w:r>
        <w:rPr>
          <w:rFonts w:cs="Calibri"/>
          <w:b/>
          <w:bCs/>
          <w:sz w:val="24"/>
          <w:szCs w:val="24"/>
          <w:lang w:val="es-CO"/>
        </w:rPr>
        <w:t>Código de Minas – Ley 685 de 2001, Art. 11</w:t>
      </w:r>
      <w:r>
        <w:rPr>
          <w:rFonts w:cs="Calibri"/>
          <w:sz w:val="24"/>
          <w:szCs w:val="24"/>
          <w:lang w:val="es-CO"/>
        </w:rPr>
        <w:t>: define materiales de arrastre como materiales de construcción.</w:t>
      </w:r>
    </w:p>
    <w:p w:rsidR="00527B8C" w:rsidRDefault="00212A57" w14:paraId="7E18A3F5" w14:textId="77777777">
      <w:pPr>
        <w:numPr>
          <w:ilvl w:val="0"/>
          <w:numId w:val="24"/>
        </w:numPr>
        <w:spacing w:after="0" w:line="360" w:lineRule="auto"/>
        <w:ind w:firstLine="304" w:firstLineChars="126"/>
        <w:jc w:val="both"/>
        <w:rPr>
          <w:rFonts w:cs="Calibri"/>
          <w:sz w:val="24"/>
          <w:szCs w:val="24"/>
          <w:lang w:val="es-CO"/>
        </w:rPr>
      </w:pPr>
      <w:r>
        <w:rPr>
          <w:rFonts w:cs="Calibri"/>
          <w:b/>
          <w:bCs/>
          <w:sz w:val="24"/>
          <w:szCs w:val="24"/>
          <w:lang w:val="es-CO"/>
        </w:rPr>
        <w:t>Decreto 2462 de 1989</w:t>
      </w:r>
      <w:r>
        <w:rPr>
          <w:rFonts w:cs="Calibri"/>
          <w:sz w:val="24"/>
          <w:szCs w:val="24"/>
          <w:lang w:val="es-CO"/>
        </w:rPr>
        <w:t>: exige título minero para su explotación.</w:t>
      </w:r>
    </w:p>
    <w:p w:rsidR="00527B8C" w:rsidRDefault="00212A57" w14:paraId="1256F28E" w14:textId="77777777">
      <w:pPr>
        <w:numPr>
          <w:ilvl w:val="0"/>
          <w:numId w:val="24"/>
        </w:numPr>
        <w:spacing w:after="0" w:line="360" w:lineRule="auto"/>
        <w:ind w:firstLine="304" w:firstLineChars="126"/>
        <w:jc w:val="both"/>
        <w:rPr>
          <w:rFonts w:cs="Calibri"/>
          <w:sz w:val="24"/>
          <w:szCs w:val="24"/>
          <w:lang w:val="es-CO"/>
        </w:rPr>
      </w:pPr>
      <w:r>
        <w:rPr>
          <w:rFonts w:cs="Calibri"/>
          <w:b/>
          <w:bCs/>
          <w:sz w:val="24"/>
          <w:szCs w:val="24"/>
          <w:lang w:val="es-CO"/>
        </w:rPr>
        <w:t>Ley 99 de 1993, Decreto 1076 de 2015 y Ley 1333 de 2009</w:t>
      </w:r>
      <w:r>
        <w:rPr>
          <w:rFonts w:cs="Calibri"/>
          <w:sz w:val="24"/>
          <w:szCs w:val="24"/>
          <w:lang w:val="es-CO"/>
        </w:rPr>
        <w:t>: regulan licenciamiento y sanciones ambientales.</w:t>
      </w:r>
    </w:p>
    <w:p w:rsidR="00527B8C" w:rsidRDefault="00212A57" w14:paraId="2CA3F180" w14:textId="77777777">
      <w:pPr>
        <w:numPr>
          <w:ilvl w:val="0"/>
          <w:numId w:val="24"/>
        </w:numPr>
        <w:spacing w:after="0" w:line="360" w:lineRule="auto"/>
        <w:ind w:firstLine="304" w:firstLineChars="126"/>
        <w:jc w:val="both"/>
        <w:rPr>
          <w:rFonts w:cs="Calibri"/>
          <w:sz w:val="24"/>
          <w:szCs w:val="24"/>
          <w:lang w:val="es-CO"/>
        </w:rPr>
      </w:pPr>
      <w:r>
        <w:rPr>
          <w:rFonts w:cs="Calibri"/>
          <w:b/>
          <w:bCs/>
          <w:sz w:val="24"/>
          <w:szCs w:val="24"/>
          <w:lang w:val="es-CO"/>
        </w:rPr>
        <w:t>Guía de Buenas Prácticas ANM (2021)</w:t>
      </w:r>
      <w:r>
        <w:rPr>
          <w:rFonts w:cs="Calibri"/>
          <w:sz w:val="24"/>
          <w:szCs w:val="24"/>
          <w:lang w:val="es-CO"/>
        </w:rPr>
        <w:t xml:space="preserve">: orienta exploración y estimación de reservas. </w:t>
      </w:r>
      <w:r>
        <w:rPr>
          <w:rStyle w:val="Refdenotaalpie"/>
          <w:rFonts w:cs="Calibri"/>
          <w:sz w:val="24"/>
          <w:szCs w:val="24"/>
          <w:lang w:val="es-CO"/>
        </w:rPr>
        <w:footnoteReference w:id="7"/>
      </w:r>
    </w:p>
    <w:p w:rsidR="00527B8C" w:rsidRDefault="00212A57" w14:paraId="28749305" w14:textId="77777777">
      <w:pPr>
        <w:spacing w:after="0" w:line="360" w:lineRule="auto"/>
        <w:ind w:firstLine="302" w:firstLineChars="126"/>
        <w:jc w:val="both"/>
        <w:rPr>
          <w:rFonts w:cs="Calibri"/>
          <w:sz w:val="24"/>
          <w:szCs w:val="24"/>
          <w:lang w:val="es-CO"/>
        </w:rPr>
      </w:pPr>
      <w:r>
        <w:rPr>
          <w:rFonts w:cs="Calibri"/>
          <w:sz w:val="24"/>
          <w:szCs w:val="24"/>
          <w:lang w:val="es-CO"/>
        </w:rPr>
        <w:t>El Código de Minas (Ley 685 de 2001) regula la exploración y explotación de materiales de construcción en Colombia. El Artículo 11 define los materiales de construcción e indica la competencia exclusiva de la autoridad minera para su otorgamiento y ejercicio. Además, decretos y resoluciones recientes han reforzado aspectos de formalización y ordenamiento sectorial.</w:t>
      </w:r>
    </w:p>
    <w:p w:rsidR="00527B8C" w:rsidRDefault="00212A57" w14:paraId="1B38E04A" w14:textId="77777777">
      <w:pPr>
        <w:pStyle w:val="Prrafodelista"/>
        <w:numPr>
          <w:ilvl w:val="0"/>
          <w:numId w:val="25"/>
        </w:numPr>
        <w:spacing w:after="0" w:line="360" w:lineRule="auto"/>
        <w:ind w:left="450" w:firstLine="304" w:firstLineChars="126"/>
        <w:contextualSpacing w:val="0"/>
        <w:jc w:val="both"/>
        <w:rPr>
          <w:rFonts w:cs="Calibri"/>
          <w:sz w:val="24"/>
          <w:szCs w:val="24"/>
          <w:lang w:val="es-CO"/>
        </w:rPr>
      </w:pPr>
      <w:r>
        <w:rPr>
          <w:rFonts w:cs="Calibri"/>
          <w:b/>
          <w:bCs/>
          <w:sz w:val="24"/>
          <w:szCs w:val="24"/>
          <w:lang w:val="es-CO"/>
        </w:rPr>
        <w:t>Permisos en cauces y riberas:</w:t>
      </w:r>
      <w:r>
        <w:rPr>
          <w:rFonts w:cs="Calibri"/>
          <w:sz w:val="24"/>
          <w:szCs w:val="24"/>
          <w:lang w:val="es-CO"/>
        </w:rPr>
        <w:t xml:space="preserve"> El Código Nacional de Recursos Naturales exige permiso para la extracción por particulares de materiales de arrastre en cauces y lechos (piedra, arena, cascajo), lo que se suma a los instrumentos de control y licenciamiento ambiental conforme a la normativa sectorial. </w:t>
      </w:r>
    </w:p>
    <w:p w:rsidR="00527B8C" w:rsidRDefault="00212A57" w14:paraId="70013692" w14:textId="77777777">
      <w:pPr>
        <w:pStyle w:val="Prrafodelista"/>
        <w:numPr>
          <w:ilvl w:val="0"/>
          <w:numId w:val="25"/>
        </w:numPr>
        <w:spacing w:after="0" w:line="360" w:lineRule="auto"/>
        <w:ind w:left="450" w:firstLine="304" w:firstLineChars="126"/>
        <w:contextualSpacing w:val="0"/>
        <w:jc w:val="both"/>
        <w:rPr>
          <w:rFonts w:cs="Calibri"/>
          <w:sz w:val="24"/>
          <w:szCs w:val="24"/>
          <w:lang w:val="es-CO"/>
        </w:rPr>
      </w:pPr>
      <w:r>
        <w:rPr>
          <w:rFonts w:cs="Calibri"/>
          <w:b/>
          <w:bCs/>
          <w:sz w:val="24"/>
          <w:szCs w:val="24"/>
          <w:lang w:val="es-CO"/>
        </w:rPr>
        <w:t>Titulación y estándares técnicos:</w:t>
      </w:r>
      <w:r>
        <w:rPr>
          <w:rFonts w:cs="Calibri"/>
          <w:sz w:val="24"/>
          <w:szCs w:val="24"/>
          <w:lang w:val="es-CO"/>
        </w:rPr>
        <w:t xml:space="preserve"> La Agencia Nacional de Minería (ANM) y la Comisión Colombiana de Recursos y Reservas (CCRR) publicaron la Guía de buenas prácticas para exploración y estimación de recursos y reservas de materiales de arrastre (2021), que orienta evaluación técnica, reporte y gestión de riesgos en depósitos fluviales.</w:t>
      </w:r>
    </w:p>
    <w:p w:rsidR="00527B8C" w:rsidRDefault="00212A57" w14:paraId="79976803" w14:textId="77777777">
      <w:pPr>
        <w:pStyle w:val="Prrafodelista"/>
        <w:numPr>
          <w:ilvl w:val="0"/>
          <w:numId w:val="25"/>
        </w:numPr>
        <w:spacing w:after="0" w:line="360" w:lineRule="auto"/>
        <w:ind w:left="450" w:firstLine="304" w:firstLineChars="126"/>
        <w:contextualSpacing w:val="0"/>
        <w:jc w:val="both"/>
        <w:rPr>
          <w:rFonts w:cs="Calibri"/>
          <w:sz w:val="24"/>
          <w:szCs w:val="24"/>
          <w:lang w:val="es-CO"/>
        </w:rPr>
      </w:pPr>
      <w:r>
        <w:rPr>
          <w:rFonts w:cs="Calibri"/>
          <w:b/>
          <w:bCs/>
          <w:sz w:val="24"/>
          <w:szCs w:val="24"/>
          <w:lang w:val="es-CO"/>
        </w:rPr>
        <w:t>Información pública y control:</w:t>
      </w:r>
      <w:r>
        <w:rPr>
          <w:rFonts w:cs="Calibri"/>
          <w:sz w:val="24"/>
          <w:szCs w:val="24"/>
          <w:lang w:val="es-CO"/>
        </w:rPr>
        <w:t xml:space="preserve"> El Catastro Minero Colombiano y el visor geográfico de la ANM permiten consultar títulos vigentes y solicitudes por departamento y municipio, así como verificar liberaciones de áreas y anotaciones en tiempo real.</w:t>
      </w:r>
      <w:r>
        <w:rPr>
          <w:rStyle w:val="Refdenotaalpie"/>
          <w:rFonts w:cs="Calibri"/>
          <w:sz w:val="24"/>
          <w:szCs w:val="24"/>
          <w:lang w:val="es-CO"/>
        </w:rPr>
        <w:footnoteReference w:id="8"/>
      </w:r>
    </w:p>
    <w:p w:rsidR="00527B8C" w:rsidRDefault="00212A57" w14:paraId="407E275D" w14:textId="77777777">
      <w:pPr>
        <w:pStyle w:val="Prrafodelista"/>
        <w:numPr>
          <w:ilvl w:val="0"/>
          <w:numId w:val="25"/>
        </w:numPr>
        <w:spacing w:after="0" w:line="360" w:lineRule="auto"/>
        <w:ind w:left="450" w:firstLine="304" w:firstLineChars="126"/>
        <w:contextualSpacing w:val="0"/>
        <w:jc w:val="both"/>
        <w:rPr>
          <w:rFonts w:cs="Calibri"/>
          <w:sz w:val="24"/>
          <w:szCs w:val="24"/>
          <w:lang w:val="es-CO"/>
        </w:rPr>
      </w:pPr>
      <w:r>
        <w:rPr>
          <w:rFonts w:cs="Calibri"/>
          <w:b/>
          <w:bCs/>
          <w:sz w:val="24"/>
          <w:szCs w:val="24"/>
          <w:lang w:val="es-CO"/>
        </w:rPr>
        <w:t>Enfoque socioambiental:</w:t>
      </w:r>
      <w:r>
        <w:rPr>
          <w:rFonts w:cs="Calibri"/>
          <w:sz w:val="24"/>
          <w:szCs w:val="24"/>
          <w:lang w:val="es-CO"/>
        </w:rPr>
        <w:t xml:space="preserve"> El </w:t>
      </w:r>
      <w:r>
        <w:rPr>
          <w:rFonts w:cs="Calibri"/>
          <w:b/>
          <w:bCs/>
          <w:sz w:val="24"/>
          <w:szCs w:val="24"/>
          <w:lang w:val="es-CO"/>
        </w:rPr>
        <w:t>SINCHI</w:t>
      </w:r>
      <w:r>
        <w:rPr>
          <w:rFonts w:cs="Calibri"/>
          <w:sz w:val="24"/>
          <w:szCs w:val="24"/>
          <w:lang w:val="es-CO"/>
        </w:rPr>
        <w:t xml:space="preserve"> ha documentado impactos sociales y territoriales de la minería en la Amazonia, señalando la interacción entre legalidad, informalidad e ilegalidad, y la necesidad de armonizar gobernanza, derechos étnicos‑territoriales y manejo ambiental.</w:t>
      </w:r>
      <w:r>
        <w:rPr>
          <w:rStyle w:val="Refdenotaalpie"/>
          <w:rFonts w:cs="Calibri"/>
          <w:sz w:val="24"/>
          <w:szCs w:val="24"/>
          <w:lang w:val="es-CO"/>
        </w:rPr>
        <w:footnoteReference w:id="9"/>
      </w:r>
      <w:r>
        <w:rPr>
          <w:rFonts w:cs="Calibri"/>
          <w:sz w:val="24"/>
          <w:szCs w:val="24"/>
          <w:lang w:val="es-CO"/>
        </w:rPr>
        <w:t xml:space="preserve"> </w:t>
      </w:r>
    </w:p>
    <w:p w:rsidR="00527B8C" w:rsidP="002352AE" w:rsidRDefault="00212A57" w14:paraId="42B8E065" w14:textId="77777777">
      <w:pPr>
        <w:pStyle w:val="Ttulo2"/>
        <w:spacing w:line="360" w:lineRule="auto"/>
        <w:jc w:val="center"/>
        <w:rPr>
          <w:sz w:val="24"/>
          <w:szCs w:val="24"/>
          <w:lang w:val="es-CO"/>
        </w:rPr>
      </w:pPr>
      <w:bookmarkStart w:name="_Toc1934448036" w:id="315347886"/>
      <w:r w:rsidRPr="53DEF7DD" w:rsidR="670101B5">
        <w:rPr>
          <w:sz w:val="24"/>
          <w:szCs w:val="24"/>
          <w:lang w:val="es-CO"/>
        </w:rPr>
        <w:t>Tabla No. 1 Marco regulatorio para la minería de material de arrastre</w:t>
      </w:r>
      <w:bookmarkEnd w:id="315347886"/>
    </w:p>
    <w:tbl>
      <w:tblPr>
        <w:tblW w:w="87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220"/>
        <w:gridCol w:w="3310"/>
        <w:gridCol w:w="3240"/>
      </w:tblGrid>
      <w:tr w:rsidR="00527B8C" w:rsidTr="544B9055" w14:paraId="7F215C63" w14:textId="77777777">
        <w:trPr>
          <w:trHeight w:val="300"/>
        </w:trPr>
        <w:tc>
          <w:tcPr>
            <w:tcW w:w="2220" w:type="dxa"/>
            <w:shd w:val="clear" w:color="auto" w:fill="1B1F7D"/>
            <w:tcMar/>
            <w:vAlign w:val="center"/>
          </w:tcPr>
          <w:p w:rsidR="00527B8C" w:rsidP="002352AE" w:rsidRDefault="00212A57" w14:paraId="1AC31006" w14:textId="35A302C3">
            <w:pPr>
              <w:spacing w:after="0" w:line="240" w:lineRule="auto"/>
              <w:jc w:val="both"/>
              <w:rPr>
                <w:rFonts w:cs="Calibri"/>
                <w:b/>
                <w:bCs/>
                <w:sz w:val="20"/>
                <w:szCs w:val="20"/>
                <w:lang w:val="en-US"/>
              </w:rPr>
            </w:pPr>
            <w:r>
              <w:rPr>
                <w:sz w:val="24"/>
                <w:szCs w:val="24"/>
              </w:rPr>
              <w:t xml:space="preserve"> </w:t>
            </w:r>
            <w:r>
              <w:rPr>
                <w:rFonts w:cs="Calibri"/>
                <w:b/>
                <w:bCs/>
                <w:sz w:val="20"/>
                <w:szCs w:val="20"/>
                <w:lang w:val="en-US"/>
              </w:rPr>
              <w:t>NORMA / INSTRUMENTO</w:t>
            </w:r>
          </w:p>
        </w:tc>
        <w:tc>
          <w:tcPr>
            <w:tcW w:w="3310" w:type="dxa"/>
            <w:shd w:val="clear" w:color="auto" w:fill="1B1F7D"/>
            <w:tcMar/>
            <w:vAlign w:val="center"/>
          </w:tcPr>
          <w:p w:rsidR="00527B8C" w:rsidP="002352AE" w:rsidRDefault="00212A57" w14:paraId="484A6BFA" w14:textId="77777777">
            <w:pPr>
              <w:spacing w:after="0" w:line="240" w:lineRule="auto"/>
              <w:jc w:val="both"/>
              <w:rPr>
                <w:rFonts w:cs="Calibri"/>
                <w:b/>
                <w:bCs/>
                <w:sz w:val="20"/>
                <w:szCs w:val="20"/>
                <w:lang w:val="en-US"/>
              </w:rPr>
            </w:pPr>
            <w:r>
              <w:rPr>
                <w:rFonts w:cs="Calibri"/>
                <w:b/>
                <w:bCs/>
                <w:sz w:val="20"/>
                <w:szCs w:val="20"/>
                <w:lang w:val="en-US"/>
              </w:rPr>
              <w:t>CONTENIDO RELEVANTE</w:t>
            </w:r>
          </w:p>
        </w:tc>
        <w:tc>
          <w:tcPr>
            <w:tcW w:w="3240" w:type="dxa"/>
            <w:shd w:val="clear" w:color="auto" w:fill="1B1F7D"/>
            <w:tcMar/>
            <w:vAlign w:val="center"/>
          </w:tcPr>
          <w:p w:rsidR="00527B8C" w:rsidP="002352AE" w:rsidRDefault="00212A57" w14:paraId="6A1D3FB1" w14:textId="77777777">
            <w:pPr>
              <w:spacing w:after="0" w:line="240" w:lineRule="auto"/>
              <w:jc w:val="both"/>
              <w:rPr>
                <w:rFonts w:cs="Calibri"/>
                <w:b/>
                <w:bCs/>
                <w:color w:val="FFFFFF" w:themeColor="background1"/>
                <w:sz w:val="20"/>
                <w:szCs w:val="20"/>
                <w:lang w:val="en-US"/>
              </w:rPr>
            </w:pPr>
            <w:r>
              <w:rPr>
                <w:rFonts w:cs="Calibri"/>
                <w:b/>
                <w:bCs/>
                <w:color w:val="FFFFFF" w:themeColor="background1"/>
                <w:sz w:val="20"/>
                <w:szCs w:val="20"/>
                <w:lang w:val="en-US"/>
              </w:rPr>
              <w:t>APLICACIÓN AL SECTOR</w:t>
            </w:r>
          </w:p>
        </w:tc>
      </w:tr>
      <w:tr w:rsidR="00527B8C" w:rsidTr="544B9055" w14:paraId="4B018855" w14:textId="77777777">
        <w:trPr>
          <w:trHeight w:val="300"/>
        </w:trPr>
        <w:tc>
          <w:tcPr>
            <w:tcW w:w="2220" w:type="dxa"/>
            <w:tcMar/>
            <w:vAlign w:val="center"/>
          </w:tcPr>
          <w:p w:rsidR="00527B8C" w:rsidP="002352AE" w:rsidRDefault="00212A57" w14:paraId="3DE2422B" w14:textId="77777777">
            <w:pPr>
              <w:spacing w:after="0" w:line="240" w:lineRule="auto"/>
              <w:jc w:val="both"/>
              <w:rPr>
                <w:rFonts w:asciiTheme="majorHAnsi" w:hAnsiTheme="majorHAnsi" w:eastAsiaTheme="majorEastAsia" w:cstheme="majorBidi"/>
                <w:b/>
                <w:bCs/>
                <w:sz w:val="20"/>
                <w:szCs w:val="20"/>
                <w:lang w:val="es-CO"/>
              </w:rPr>
            </w:pPr>
            <w:r>
              <w:rPr>
                <w:rFonts w:asciiTheme="majorHAnsi" w:hAnsiTheme="majorHAnsi" w:eastAsiaTheme="majorEastAsia" w:cstheme="majorBidi"/>
                <w:b/>
                <w:bCs/>
                <w:sz w:val="20"/>
                <w:szCs w:val="20"/>
                <w:lang w:val="es-CO"/>
              </w:rPr>
              <w:t>Ley 685 de 2001 (Código de Minas)</w:t>
            </w:r>
          </w:p>
        </w:tc>
        <w:tc>
          <w:tcPr>
            <w:tcW w:w="3310" w:type="dxa"/>
            <w:tcMar/>
            <w:vAlign w:val="center"/>
          </w:tcPr>
          <w:p w:rsidR="00527B8C" w:rsidP="002352AE" w:rsidRDefault="00212A57" w14:paraId="2C113D5F"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Regula fases de prospección, exploración, explotación y cierre; Art. 11 define materiales de construcción.</w:t>
            </w:r>
          </w:p>
        </w:tc>
        <w:tc>
          <w:tcPr>
            <w:tcW w:w="3240" w:type="dxa"/>
            <w:tcMar/>
            <w:vAlign w:val="center"/>
          </w:tcPr>
          <w:p w:rsidR="00527B8C" w:rsidP="002352AE" w:rsidRDefault="00212A57" w14:paraId="2C6C1F82"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Competencia de autoridad minera; requisitos para títulos y explotación.</w:t>
            </w:r>
          </w:p>
        </w:tc>
      </w:tr>
      <w:tr w:rsidR="00527B8C" w:rsidTr="544B9055" w14:paraId="337FA017" w14:textId="77777777">
        <w:trPr>
          <w:trHeight w:val="300"/>
        </w:trPr>
        <w:tc>
          <w:tcPr>
            <w:tcW w:w="2220" w:type="dxa"/>
            <w:shd w:val="clear" w:color="auto" w:fill="F2F2F2" w:themeFill="background1" w:themeFillShade="F2"/>
            <w:tcMar/>
            <w:vAlign w:val="center"/>
          </w:tcPr>
          <w:p w:rsidR="00527B8C" w:rsidP="002352AE" w:rsidRDefault="00212A57" w14:paraId="14D7F102" w14:textId="77777777">
            <w:pPr>
              <w:spacing w:after="0" w:line="240" w:lineRule="auto"/>
              <w:jc w:val="both"/>
              <w:rPr>
                <w:rFonts w:asciiTheme="majorHAnsi" w:hAnsiTheme="majorHAnsi" w:eastAsiaTheme="majorEastAsia" w:cstheme="majorBidi"/>
                <w:b/>
                <w:bCs/>
                <w:sz w:val="20"/>
                <w:szCs w:val="20"/>
                <w:lang w:val="en-US"/>
              </w:rPr>
            </w:pPr>
            <w:r>
              <w:rPr>
                <w:rFonts w:asciiTheme="majorHAnsi" w:hAnsiTheme="majorHAnsi" w:eastAsiaTheme="majorEastAsia" w:cstheme="majorBidi"/>
                <w:b/>
                <w:bCs/>
                <w:sz w:val="20"/>
                <w:szCs w:val="20"/>
                <w:lang w:val="en-US"/>
              </w:rPr>
              <w:t>Decreto Único 1073 de 2015 (MME)</w:t>
            </w:r>
          </w:p>
        </w:tc>
        <w:tc>
          <w:tcPr>
            <w:tcW w:w="3310" w:type="dxa"/>
            <w:shd w:val="clear" w:color="auto" w:fill="F2F2F2" w:themeFill="background1" w:themeFillShade="F2"/>
            <w:tcMar/>
            <w:vAlign w:val="center"/>
          </w:tcPr>
          <w:p w:rsidR="00527B8C" w:rsidP="002352AE" w:rsidRDefault="00212A57" w14:paraId="3B45A22F"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Compila reglamentación del sector minero energético; lineamientos de formalización.</w:t>
            </w:r>
          </w:p>
        </w:tc>
        <w:tc>
          <w:tcPr>
            <w:tcW w:w="3240" w:type="dxa"/>
            <w:shd w:val="clear" w:color="auto" w:fill="F2F2F2" w:themeFill="background1" w:themeFillShade="F2"/>
            <w:tcMar/>
            <w:vAlign w:val="center"/>
          </w:tcPr>
          <w:p w:rsidR="00527B8C" w:rsidP="002352AE" w:rsidRDefault="00212A57" w14:paraId="796BB159"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Procedimientos y condiciones para formalización y control.</w:t>
            </w:r>
          </w:p>
        </w:tc>
      </w:tr>
      <w:tr w:rsidR="00527B8C" w:rsidTr="544B9055" w14:paraId="665A8DC6" w14:textId="77777777">
        <w:trPr>
          <w:trHeight w:val="300"/>
        </w:trPr>
        <w:tc>
          <w:tcPr>
            <w:tcW w:w="2220" w:type="dxa"/>
            <w:tcMar/>
            <w:vAlign w:val="center"/>
          </w:tcPr>
          <w:p w:rsidR="00527B8C" w:rsidP="002352AE" w:rsidRDefault="00212A57" w14:paraId="422D5677" w14:textId="77777777">
            <w:pPr>
              <w:spacing w:after="0" w:line="240" w:lineRule="auto"/>
              <w:jc w:val="both"/>
              <w:rPr>
                <w:rFonts w:asciiTheme="majorHAnsi" w:hAnsiTheme="majorHAnsi" w:eastAsiaTheme="majorEastAsia" w:cstheme="majorBidi"/>
                <w:b/>
                <w:bCs/>
                <w:sz w:val="20"/>
                <w:szCs w:val="20"/>
                <w:lang w:val="en-US"/>
              </w:rPr>
            </w:pPr>
            <w:r>
              <w:rPr>
                <w:rFonts w:asciiTheme="majorHAnsi" w:hAnsiTheme="majorHAnsi" w:eastAsiaTheme="majorEastAsia" w:cstheme="majorBidi"/>
                <w:b/>
                <w:bCs/>
                <w:sz w:val="20"/>
                <w:szCs w:val="20"/>
                <w:lang w:val="en-US"/>
              </w:rPr>
              <w:t>Lineamientos ambientales (ANLA/MinAmbiente)</w:t>
            </w:r>
          </w:p>
        </w:tc>
        <w:tc>
          <w:tcPr>
            <w:tcW w:w="3310" w:type="dxa"/>
            <w:tcMar/>
            <w:vAlign w:val="center"/>
          </w:tcPr>
          <w:p w:rsidR="00527B8C" w:rsidP="002352AE" w:rsidRDefault="00212A57" w14:paraId="605AF157"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Requisitos de licenciamiento e instrumentos de manejo ambiental.</w:t>
            </w:r>
          </w:p>
        </w:tc>
        <w:tc>
          <w:tcPr>
            <w:tcW w:w="3240" w:type="dxa"/>
            <w:tcMar/>
            <w:vAlign w:val="center"/>
          </w:tcPr>
          <w:p w:rsidR="00527B8C" w:rsidP="002352AE" w:rsidRDefault="00212A57" w14:paraId="1BE975D8"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Licencias y planes de manejo para extracción en cauces y canteras.</w:t>
            </w:r>
          </w:p>
        </w:tc>
      </w:tr>
      <w:tr w:rsidR="00527B8C" w:rsidTr="544B9055" w14:paraId="5F4B97CE" w14:textId="77777777">
        <w:trPr>
          <w:trHeight w:val="300"/>
        </w:trPr>
        <w:tc>
          <w:tcPr>
            <w:tcW w:w="2220" w:type="dxa"/>
            <w:shd w:val="clear" w:color="auto" w:fill="F2F2F2" w:themeFill="background1" w:themeFillShade="F2"/>
            <w:tcMar/>
            <w:vAlign w:val="center"/>
          </w:tcPr>
          <w:p w:rsidR="00527B8C" w:rsidP="002352AE" w:rsidRDefault="00212A57" w14:paraId="3AFDC883" w14:textId="77777777">
            <w:pPr>
              <w:spacing w:after="0" w:line="240" w:lineRule="auto"/>
              <w:jc w:val="both"/>
              <w:rPr>
                <w:rFonts w:asciiTheme="majorHAnsi" w:hAnsiTheme="majorHAnsi" w:eastAsiaTheme="majorEastAsia" w:cstheme="majorBidi"/>
                <w:b/>
                <w:bCs/>
                <w:sz w:val="20"/>
                <w:szCs w:val="20"/>
              </w:rPr>
            </w:pPr>
            <w:r>
              <w:rPr>
                <w:rFonts w:asciiTheme="majorHAnsi" w:hAnsiTheme="majorHAnsi" w:eastAsiaTheme="majorEastAsia" w:cstheme="majorBidi"/>
                <w:b/>
                <w:bCs/>
                <w:sz w:val="20"/>
                <w:szCs w:val="20"/>
              </w:rPr>
              <w:t>Ley 165 de 1994</w:t>
            </w:r>
          </w:p>
        </w:tc>
        <w:tc>
          <w:tcPr>
            <w:tcW w:w="3310" w:type="dxa"/>
            <w:shd w:val="clear" w:color="auto" w:fill="F2F2F2" w:themeFill="background1" w:themeFillShade="F2"/>
            <w:tcMar/>
            <w:vAlign w:val="center"/>
          </w:tcPr>
          <w:p w:rsidR="00527B8C" w:rsidP="002352AE" w:rsidRDefault="00212A57" w14:paraId="35020C6D"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 xml:space="preserve">La explotación de materiales de arrastre debe alinearse con el uso sostenible, la conservación de la biodiversidad y el empoderamiento comunitario. </w:t>
            </w:r>
          </w:p>
        </w:tc>
        <w:tc>
          <w:tcPr>
            <w:tcW w:w="3240" w:type="dxa"/>
            <w:shd w:val="clear" w:color="auto" w:fill="F2F2F2" w:themeFill="background1" w:themeFillShade="F2"/>
            <w:tcMar/>
            <w:vAlign w:val="center"/>
          </w:tcPr>
          <w:p w:rsidR="00527B8C" w:rsidP="002352AE" w:rsidRDefault="00212A57" w14:paraId="2AA38C56"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Esto exige una transformación de las prácticas extractivas tradicionales, migrando hacia modelos respetuosos del medio y socialmente integradores.</w:t>
            </w:r>
          </w:p>
        </w:tc>
      </w:tr>
      <w:tr w:rsidR="00527B8C" w:rsidTr="544B9055" w14:paraId="2D3FA80A" w14:textId="77777777">
        <w:trPr>
          <w:trHeight w:val="300"/>
        </w:trPr>
        <w:tc>
          <w:tcPr>
            <w:tcW w:w="2220" w:type="dxa"/>
            <w:tcMar/>
            <w:vAlign w:val="center"/>
          </w:tcPr>
          <w:p w:rsidR="00527B8C" w:rsidP="002352AE" w:rsidRDefault="00212A57" w14:paraId="720BAE7F" w14:textId="77777777">
            <w:pPr>
              <w:spacing w:after="0" w:line="240" w:lineRule="auto"/>
              <w:jc w:val="both"/>
              <w:rPr>
                <w:rFonts w:asciiTheme="majorHAnsi" w:hAnsiTheme="majorHAnsi" w:eastAsiaTheme="majorEastAsia" w:cstheme="majorBidi"/>
                <w:b/>
                <w:bCs/>
                <w:sz w:val="20"/>
                <w:szCs w:val="20"/>
                <w:lang w:val="es-CO"/>
              </w:rPr>
            </w:pPr>
            <w:r>
              <w:rPr>
                <w:rFonts w:asciiTheme="majorHAnsi" w:hAnsiTheme="majorHAnsi" w:eastAsiaTheme="majorEastAsia" w:cstheme="majorBidi"/>
                <w:b/>
                <w:bCs/>
                <w:sz w:val="20"/>
                <w:szCs w:val="20"/>
                <w:lang w:val="es-CO"/>
              </w:rPr>
              <w:t>Ley 357 de 1997</w:t>
            </w:r>
          </w:p>
        </w:tc>
        <w:tc>
          <w:tcPr>
            <w:tcW w:w="3310" w:type="dxa"/>
            <w:tcMar/>
            <w:vAlign w:val="center"/>
          </w:tcPr>
          <w:p w:rsidR="00527B8C" w:rsidP="002352AE" w:rsidRDefault="00212A57" w14:paraId="45323739"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 xml:space="preserve">Obliga a considerar cualquier actividad de explotación de material de arrastre dentro de humedales como un elemento de conservación prioritaria. </w:t>
            </w:r>
          </w:p>
        </w:tc>
        <w:tc>
          <w:tcPr>
            <w:tcW w:w="3240" w:type="dxa"/>
            <w:tcMar/>
            <w:vAlign w:val="center"/>
          </w:tcPr>
          <w:p w:rsidR="00527B8C" w:rsidP="002352AE" w:rsidRDefault="00212A57" w14:paraId="327D4D90"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Esto exige prácticas sostenibles, control regulatorio y restauración activa en zonas protegidas.</w:t>
            </w:r>
          </w:p>
          <w:p w:rsidR="00527B8C" w:rsidP="002352AE" w:rsidRDefault="00527B8C" w14:paraId="0C156E93" w14:textId="77777777">
            <w:pPr>
              <w:spacing w:after="0" w:line="240" w:lineRule="auto"/>
              <w:jc w:val="both"/>
              <w:rPr>
                <w:rFonts w:asciiTheme="majorHAnsi" w:hAnsiTheme="majorHAnsi" w:eastAsiaTheme="majorEastAsia" w:cstheme="majorBidi"/>
                <w:sz w:val="20"/>
                <w:szCs w:val="20"/>
                <w:lang w:val="es-CO"/>
              </w:rPr>
            </w:pPr>
          </w:p>
        </w:tc>
      </w:tr>
      <w:tr w:rsidR="00527B8C" w:rsidTr="544B9055" w14:paraId="3DA94616" w14:textId="77777777">
        <w:trPr>
          <w:trHeight w:val="300"/>
        </w:trPr>
        <w:tc>
          <w:tcPr>
            <w:tcW w:w="2220" w:type="dxa"/>
            <w:shd w:val="clear" w:color="auto" w:fill="F2F2F2" w:themeFill="background1" w:themeFillShade="F2"/>
            <w:tcMar/>
            <w:vAlign w:val="center"/>
          </w:tcPr>
          <w:p w:rsidR="00527B8C" w:rsidP="002352AE" w:rsidRDefault="00212A57" w14:paraId="7E1E48AB" w14:textId="77777777">
            <w:pPr>
              <w:spacing w:after="0" w:line="240" w:lineRule="auto"/>
              <w:jc w:val="both"/>
              <w:rPr>
                <w:rFonts w:asciiTheme="majorHAnsi" w:hAnsiTheme="majorHAnsi" w:eastAsiaTheme="majorEastAsia" w:cstheme="majorBidi"/>
                <w:b/>
                <w:bCs/>
                <w:sz w:val="20"/>
                <w:szCs w:val="20"/>
                <w:lang w:val="es-CO"/>
              </w:rPr>
            </w:pPr>
            <w:r>
              <w:rPr>
                <w:rFonts w:asciiTheme="majorHAnsi" w:hAnsiTheme="majorHAnsi" w:eastAsiaTheme="majorEastAsia" w:cstheme="majorBidi"/>
                <w:b/>
                <w:bCs/>
                <w:sz w:val="20"/>
                <w:szCs w:val="20"/>
                <w:lang w:val="es-CO"/>
              </w:rPr>
              <w:t>Ley 388 de 1997</w:t>
            </w:r>
          </w:p>
        </w:tc>
        <w:tc>
          <w:tcPr>
            <w:tcW w:w="3310" w:type="dxa"/>
            <w:shd w:val="clear" w:color="auto" w:fill="F2F2F2" w:themeFill="background1" w:themeFillShade="F2"/>
            <w:tcMar/>
            <w:vAlign w:val="center"/>
          </w:tcPr>
          <w:p w:rsidR="00527B8C" w:rsidP="002352AE" w:rsidRDefault="00212A57" w14:paraId="6AD6BB6F"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(Ley de Ordenamiento Territorial en Colombia) tiene un aspecto clave frente a la explotación de material de arrastre, al establecer que el uso del suelo y la localización de actividades mineras deben estar regulados por los Planes de Ordenamiento Territorial (POT) y demás instrumentos de planificación municipal y distrital.</w:t>
            </w:r>
          </w:p>
        </w:tc>
        <w:tc>
          <w:tcPr>
            <w:tcW w:w="3240" w:type="dxa"/>
            <w:shd w:val="clear" w:color="auto" w:fill="F2F2F2" w:themeFill="background1" w:themeFillShade="F2"/>
            <w:tcMar/>
            <w:vAlign w:val="center"/>
          </w:tcPr>
          <w:p w:rsidR="00527B8C" w:rsidP="002352AE" w:rsidRDefault="00212A57" w14:paraId="4AE18025"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Respetar las zonas de exclusión definidas en los POT (riberas, humedales, áreas protegidas).</w:t>
            </w:r>
          </w:p>
          <w:p w:rsidR="00527B8C" w:rsidP="002352AE" w:rsidRDefault="00212A57" w14:paraId="47FDD7CB"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Incorporar planes de manejo socioambiental alineados con el ordenamiento territorial.</w:t>
            </w:r>
          </w:p>
          <w:p w:rsidR="00527B8C" w:rsidP="002352AE" w:rsidRDefault="00212A57" w14:paraId="704C641B"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Coordinar con autoridades locales para garantizar que la actividad no contravenga los objetivos de conservación y gestión del riesgo.</w:t>
            </w:r>
          </w:p>
        </w:tc>
      </w:tr>
      <w:tr w:rsidR="00527B8C" w:rsidTr="544B9055" w14:paraId="718FD00A" w14:textId="77777777">
        <w:trPr>
          <w:trHeight w:val="300"/>
        </w:trPr>
        <w:tc>
          <w:tcPr>
            <w:tcW w:w="2220" w:type="dxa"/>
            <w:tcMar/>
            <w:vAlign w:val="center"/>
          </w:tcPr>
          <w:p w:rsidR="00527B8C" w:rsidP="002352AE" w:rsidRDefault="00212A57" w14:paraId="21F29196" w14:textId="77777777">
            <w:pPr>
              <w:spacing w:after="0" w:line="240" w:lineRule="auto"/>
              <w:jc w:val="both"/>
              <w:rPr>
                <w:rFonts w:asciiTheme="majorHAnsi" w:hAnsiTheme="majorHAnsi" w:eastAsiaTheme="majorEastAsia" w:cstheme="majorBidi"/>
                <w:b/>
                <w:bCs/>
                <w:sz w:val="20"/>
                <w:szCs w:val="20"/>
                <w:lang w:val="es-CO"/>
              </w:rPr>
            </w:pPr>
            <w:r>
              <w:rPr>
                <w:rFonts w:asciiTheme="majorHAnsi" w:hAnsiTheme="majorHAnsi" w:eastAsiaTheme="majorEastAsia" w:cstheme="majorBidi"/>
                <w:b/>
                <w:bCs/>
                <w:color w:val="000000" w:themeColor="text1"/>
                <w:sz w:val="20"/>
                <w:szCs w:val="20"/>
                <w:lang w:val="es-CO"/>
              </w:rPr>
              <w:t>Resolución 157 de 2004</w:t>
            </w:r>
          </w:p>
        </w:tc>
        <w:tc>
          <w:tcPr>
            <w:tcW w:w="3310" w:type="dxa"/>
            <w:tcMar/>
            <w:vAlign w:val="center"/>
          </w:tcPr>
          <w:p w:rsidR="00527B8C" w:rsidP="002352AE" w:rsidRDefault="00212A57" w14:paraId="71C7E7EE"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Instrumento normativo clave porque regula la extracción de materiales de arrastre (arenas, gravas, arcillas) en cauces y playas, estableciendo condiciones técnicas y ambientales para su aprovechamiento.</w:t>
            </w:r>
          </w:p>
        </w:tc>
        <w:tc>
          <w:tcPr>
            <w:tcW w:w="3240" w:type="dxa"/>
            <w:tcMar/>
            <w:vAlign w:val="center"/>
          </w:tcPr>
          <w:p w:rsidR="00527B8C" w:rsidP="002352AE" w:rsidRDefault="00212A57" w14:paraId="1D197765"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Limita la explotación en ríos con alta biodiversidad y territorios indígenas.</w:t>
            </w:r>
          </w:p>
          <w:p w:rsidR="00527B8C" w:rsidP="002352AE" w:rsidRDefault="00212A57" w14:paraId="750620C0"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Refuerza la necesidad de evaluaciones integrales y monitoreo participativo.</w:t>
            </w:r>
          </w:p>
          <w:p w:rsidR="00527B8C" w:rsidP="002352AE" w:rsidRDefault="00212A57" w14:paraId="07235566"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Exige que cualquier intervención esté alineada con políticas de protección amazónica y planes de ordenamiento territorial.</w:t>
            </w:r>
          </w:p>
        </w:tc>
      </w:tr>
      <w:tr w:rsidR="00527B8C" w:rsidTr="544B9055" w14:paraId="65E14137" w14:textId="77777777">
        <w:trPr>
          <w:trHeight w:val="300"/>
        </w:trPr>
        <w:tc>
          <w:tcPr>
            <w:tcW w:w="2220" w:type="dxa"/>
            <w:shd w:val="clear" w:color="auto" w:fill="F2F2F2" w:themeFill="background1" w:themeFillShade="F2"/>
            <w:tcMar/>
            <w:vAlign w:val="center"/>
          </w:tcPr>
          <w:p w:rsidR="00527B8C" w:rsidP="002352AE" w:rsidRDefault="00212A57" w14:paraId="352D135C" w14:textId="77777777">
            <w:pPr>
              <w:spacing w:after="0" w:line="240" w:lineRule="auto"/>
              <w:jc w:val="both"/>
              <w:rPr>
                <w:rFonts w:asciiTheme="majorHAnsi" w:hAnsiTheme="majorHAnsi" w:eastAsiaTheme="majorEastAsia" w:cstheme="majorBidi"/>
                <w:b/>
                <w:bCs/>
                <w:sz w:val="20"/>
                <w:szCs w:val="20"/>
                <w:lang w:val="es-CO"/>
              </w:rPr>
            </w:pPr>
            <w:r>
              <w:rPr>
                <w:rFonts w:asciiTheme="majorHAnsi" w:hAnsiTheme="majorHAnsi" w:eastAsiaTheme="majorEastAsia" w:cstheme="majorBidi"/>
                <w:b/>
                <w:bCs/>
                <w:color w:val="000000" w:themeColor="text1"/>
                <w:sz w:val="20"/>
                <w:szCs w:val="20"/>
                <w:lang w:val="es-CO"/>
              </w:rPr>
              <w:t>Decreto 2372 de 2010</w:t>
            </w:r>
          </w:p>
        </w:tc>
        <w:tc>
          <w:tcPr>
            <w:tcW w:w="3310" w:type="dxa"/>
            <w:shd w:val="clear" w:color="auto" w:fill="F2F2F2" w:themeFill="background1" w:themeFillShade="F2"/>
            <w:tcMar/>
            <w:vAlign w:val="center"/>
          </w:tcPr>
          <w:p w:rsidR="00527B8C" w:rsidP="002352AE" w:rsidRDefault="00212A57" w14:paraId="1D4C707D"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Es fundamental porque reglamenta el Sistema Nacional de Áreas Protegidas (SINAP) y define las categorías de manejo y conservación en Colombia.</w:t>
            </w:r>
          </w:p>
        </w:tc>
        <w:tc>
          <w:tcPr>
            <w:tcW w:w="3240" w:type="dxa"/>
            <w:shd w:val="clear" w:color="auto" w:fill="F2F2F2" w:themeFill="background1" w:themeFillShade="F2"/>
            <w:tcMar/>
            <w:vAlign w:val="center"/>
          </w:tcPr>
          <w:p w:rsidR="00527B8C" w:rsidP="002352AE" w:rsidRDefault="00212A57" w14:paraId="18842A81"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Impide la extracción en áreas protegidas y condiciona cualquier actividad en zonas de amortiguamiento.</w:t>
            </w:r>
          </w:p>
          <w:p w:rsidR="00527B8C" w:rsidP="002352AE" w:rsidRDefault="00212A57" w14:paraId="215F4818"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Refuerza la necesidad de monitoreo territorial y trazabilidad, para evitar explotación ilícita en cauces.</w:t>
            </w:r>
          </w:p>
          <w:p w:rsidR="00527B8C" w:rsidP="002352AE" w:rsidRDefault="00527B8C" w14:paraId="5F5D8128" w14:textId="77777777">
            <w:pPr>
              <w:spacing w:after="0" w:line="240" w:lineRule="auto"/>
              <w:jc w:val="both"/>
              <w:rPr>
                <w:rFonts w:asciiTheme="majorHAnsi" w:hAnsiTheme="majorHAnsi" w:eastAsiaTheme="majorEastAsia" w:cstheme="majorBidi"/>
                <w:sz w:val="20"/>
                <w:szCs w:val="20"/>
                <w:lang w:val="es-CO"/>
              </w:rPr>
            </w:pPr>
          </w:p>
          <w:p w:rsidR="00527B8C" w:rsidP="002352AE" w:rsidRDefault="00212A57" w14:paraId="2130BD77"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Exige que los proyectos mineros se alineen con los objetivos de conservación y los compromisos internacionales (Convenio de Diversidad Biológica, Ramsar).</w:t>
            </w:r>
          </w:p>
        </w:tc>
      </w:tr>
      <w:tr w:rsidR="00527B8C" w:rsidTr="544B9055" w14:paraId="2C0452E5" w14:textId="77777777">
        <w:trPr>
          <w:trHeight w:val="300"/>
        </w:trPr>
        <w:tc>
          <w:tcPr>
            <w:tcW w:w="2220" w:type="dxa"/>
            <w:tcMar/>
            <w:vAlign w:val="center"/>
          </w:tcPr>
          <w:p w:rsidR="00527B8C" w:rsidP="002352AE" w:rsidRDefault="00212A57" w14:paraId="0D8FC3A9" w14:textId="77777777">
            <w:pPr>
              <w:spacing w:after="0" w:line="240" w:lineRule="auto"/>
              <w:jc w:val="both"/>
              <w:rPr>
                <w:rFonts w:asciiTheme="majorHAnsi" w:hAnsiTheme="majorHAnsi" w:eastAsiaTheme="majorEastAsia" w:cstheme="majorBidi"/>
                <w:b/>
                <w:bCs/>
                <w:sz w:val="20"/>
                <w:szCs w:val="20"/>
                <w:lang w:val="es-CO"/>
              </w:rPr>
            </w:pPr>
            <w:r>
              <w:rPr>
                <w:rFonts w:asciiTheme="majorHAnsi" w:hAnsiTheme="majorHAnsi" w:eastAsiaTheme="majorEastAsia" w:cstheme="majorBidi"/>
                <w:b/>
                <w:bCs/>
                <w:color w:val="000000" w:themeColor="text1"/>
                <w:sz w:val="20"/>
                <w:szCs w:val="20"/>
                <w:lang w:val="es-CO"/>
              </w:rPr>
              <w:t>Decreto 510 de 2011</w:t>
            </w:r>
          </w:p>
        </w:tc>
        <w:tc>
          <w:tcPr>
            <w:tcW w:w="3310" w:type="dxa"/>
            <w:tcMar/>
            <w:vAlign w:val="center"/>
          </w:tcPr>
          <w:p w:rsidR="00527B8C" w:rsidP="002352AE" w:rsidRDefault="00212A57" w14:paraId="5F51D45A"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Establece que la explotación de materiales de arrastre requiere: título minero y debe cumplir con las disposiciones ambientales y de ordenamiento territorial, reforzando la articulación entre la autoridad minera (ANM) y las autoridades ambientales.</w:t>
            </w:r>
          </w:p>
        </w:tc>
        <w:tc>
          <w:tcPr>
            <w:tcW w:w="3240" w:type="dxa"/>
            <w:tcMar/>
            <w:vAlign w:val="center"/>
          </w:tcPr>
          <w:p w:rsidR="00527B8C" w:rsidP="002352AE" w:rsidRDefault="00212A57" w14:paraId="614C761B"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No se pueden otorgar títulos en zonas excluidas por ley (parques, reservas, SINAP).</w:t>
            </w:r>
          </w:p>
          <w:p w:rsidR="00527B8C" w:rsidP="002352AE" w:rsidRDefault="00212A57" w14:paraId="4D5BDBD9"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Se requiere evaluación integral para evitar impactos en ecosistemas acuáticos y biodiversidad.</w:t>
            </w:r>
          </w:p>
          <w:p w:rsidR="00527B8C" w:rsidP="002352AE" w:rsidRDefault="00212A57" w14:paraId="580DFF34"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El decreto refuerza la necesidad de trazabilidad y monitoreo territorial, para prevenir explotación ilícita y garantizar que cualquier actividad esté alineada con políticas de protección amazónica.</w:t>
            </w:r>
          </w:p>
        </w:tc>
      </w:tr>
      <w:tr w:rsidR="00527B8C" w:rsidTr="544B9055" w14:paraId="5DC0D085" w14:textId="77777777">
        <w:trPr>
          <w:trHeight w:val="300"/>
        </w:trPr>
        <w:tc>
          <w:tcPr>
            <w:tcW w:w="2220" w:type="dxa"/>
            <w:shd w:val="clear" w:color="auto" w:fill="F2F2F2" w:themeFill="background1" w:themeFillShade="F2"/>
            <w:tcMar/>
            <w:vAlign w:val="center"/>
          </w:tcPr>
          <w:p w:rsidR="00527B8C" w:rsidP="002352AE" w:rsidRDefault="00212A57" w14:paraId="3CECEF56" w14:textId="77777777">
            <w:pPr>
              <w:spacing w:after="0" w:line="240" w:lineRule="auto"/>
              <w:jc w:val="both"/>
              <w:rPr>
                <w:rFonts w:asciiTheme="majorHAnsi" w:hAnsiTheme="majorHAnsi" w:eastAsiaTheme="majorEastAsia" w:cstheme="majorBidi"/>
                <w:b/>
                <w:bCs/>
                <w:sz w:val="20"/>
                <w:szCs w:val="20"/>
                <w:lang w:val="es-CO"/>
              </w:rPr>
            </w:pPr>
            <w:r>
              <w:rPr>
                <w:rFonts w:asciiTheme="majorHAnsi" w:hAnsiTheme="majorHAnsi" w:eastAsiaTheme="majorEastAsia" w:cstheme="majorBidi"/>
                <w:b/>
                <w:bCs/>
                <w:color w:val="000000" w:themeColor="text1"/>
                <w:sz w:val="20"/>
                <w:szCs w:val="20"/>
                <w:lang w:val="es-CO"/>
              </w:rPr>
              <w:t>Ley 1523 de 2012</w:t>
            </w:r>
          </w:p>
        </w:tc>
        <w:tc>
          <w:tcPr>
            <w:tcW w:w="3310" w:type="dxa"/>
            <w:shd w:val="clear" w:color="auto" w:fill="F2F2F2" w:themeFill="background1" w:themeFillShade="F2"/>
            <w:tcMar/>
            <w:vAlign w:val="center"/>
          </w:tcPr>
          <w:p w:rsidR="00527B8C" w:rsidP="002352AE" w:rsidRDefault="00212A57" w14:paraId="68A68F68"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Toda actividad de explotación, incluso la de materiales de arrastre en cauces, debe identificar, prevenir y mitigar riesgos asociados a fenómenos naturales y antrópicos, como inundaciones, erosión, deslizamientos y afectación de comunidades.</w:t>
            </w:r>
          </w:p>
        </w:tc>
        <w:tc>
          <w:tcPr>
            <w:tcW w:w="3240" w:type="dxa"/>
            <w:shd w:val="clear" w:color="auto" w:fill="F2F2F2" w:themeFill="background1" w:themeFillShade="F2"/>
            <w:tcMar/>
            <w:vAlign w:val="center"/>
          </w:tcPr>
          <w:p w:rsidR="00527B8C" w:rsidP="002352AE" w:rsidRDefault="00212A57" w14:paraId="58D86877"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La extracción de material de arrastre incrementa riesgos de inundación y pérdida de conectividad ecológica, por lo que se requiere análisis hidrológico detallado.</w:t>
            </w:r>
          </w:p>
          <w:p w:rsidR="00527B8C" w:rsidP="002352AE" w:rsidRDefault="00212A57" w14:paraId="012C755A"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Las operaciones deben incorporar monitoreo permanente, alertas tempranas y coordinación con autoridades ambientales y de gestión del riesgo.</w:t>
            </w:r>
          </w:p>
          <w:p w:rsidR="00527B8C" w:rsidP="002352AE" w:rsidRDefault="00212A57" w14:paraId="219EA230"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Es clave articular estas acciones con políticas de protección amazónica y planes de adaptación al cambio climático.</w:t>
            </w:r>
          </w:p>
        </w:tc>
      </w:tr>
      <w:tr w:rsidR="00527B8C" w:rsidTr="544B9055" w14:paraId="6D4A251B" w14:textId="77777777">
        <w:trPr>
          <w:trHeight w:val="300"/>
        </w:trPr>
        <w:tc>
          <w:tcPr>
            <w:tcW w:w="2220" w:type="dxa"/>
            <w:tcMar/>
            <w:vAlign w:val="center"/>
          </w:tcPr>
          <w:p w:rsidR="00527B8C" w:rsidP="002352AE" w:rsidRDefault="00212A57" w14:paraId="490C75CA" w14:textId="77777777">
            <w:pPr>
              <w:spacing w:after="0" w:line="240" w:lineRule="auto"/>
              <w:jc w:val="both"/>
              <w:rPr>
                <w:rFonts w:asciiTheme="majorHAnsi" w:hAnsiTheme="majorHAnsi" w:eastAsiaTheme="majorEastAsia" w:cstheme="majorBidi"/>
                <w:b/>
                <w:bCs/>
                <w:sz w:val="20"/>
                <w:szCs w:val="20"/>
                <w:lang w:val="es-CO"/>
              </w:rPr>
            </w:pPr>
            <w:r>
              <w:rPr>
                <w:rFonts w:asciiTheme="majorHAnsi" w:hAnsiTheme="majorHAnsi" w:eastAsiaTheme="majorEastAsia" w:cstheme="majorBidi"/>
                <w:b/>
                <w:bCs/>
                <w:color w:val="000000" w:themeColor="text1"/>
                <w:sz w:val="20"/>
                <w:szCs w:val="20"/>
                <w:lang w:val="es-CO"/>
              </w:rPr>
              <w:t>Decreto 1640 de 2012</w:t>
            </w:r>
          </w:p>
        </w:tc>
        <w:tc>
          <w:tcPr>
            <w:tcW w:w="3310" w:type="dxa"/>
            <w:tcMar/>
            <w:vAlign w:val="center"/>
          </w:tcPr>
          <w:p w:rsidR="00527B8C" w:rsidP="002352AE" w:rsidRDefault="00212A57" w14:paraId="7E0FA517"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Establece que la extracción de materiales en cauces requiere concesión de agua y permiso ambiental, garantizando la protección del recurso hídrico y la estabilidad hidráulica del río.</w:t>
            </w:r>
          </w:p>
        </w:tc>
        <w:tc>
          <w:tcPr>
            <w:tcW w:w="3240" w:type="dxa"/>
            <w:tcMar/>
            <w:vAlign w:val="center"/>
          </w:tcPr>
          <w:p w:rsidR="00527B8C" w:rsidP="002352AE" w:rsidRDefault="00212A57" w14:paraId="393D53F9"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La extracción de material de arrastre solo puede autorizarse si no compromete la integridad del recurso hídrico.</w:t>
            </w:r>
          </w:p>
          <w:p w:rsidR="00527B8C" w:rsidP="002352AE" w:rsidRDefault="00212A57" w14:paraId="00CB519A"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Se requiere monitoreo permanente, análisis hidrológico y coordinación con autoridades ambientales y comunidades.</w:t>
            </w:r>
          </w:p>
          <w:p w:rsidR="00527B8C" w:rsidP="002352AE" w:rsidRDefault="00212A57" w14:paraId="130621C4" w14:textId="77777777">
            <w:pPr>
              <w:spacing w:after="0" w:line="240" w:lineRule="auto"/>
              <w:jc w:val="both"/>
              <w:rPr>
                <w:rFonts w:asciiTheme="majorHAnsi" w:hAnsiTheme="majorHAnsi" w:eastAsiaTheme="majorEastAsia" w:cstheme="majorBidi"/>
                <w:sz w:val="20"/>
                <w:szCs w:val="20"/>
                <w:lang w:val="es-CO"/>
              </w:rPr>
            </w:pPr>
            <w:r>
              <w:rPr>
                <w:rFonts w:asciiTheme="majorHAnsi" w:hAnsiTheme="majorHAnsi" w:eastAsiaTheme="majorEastAsia" w:cstheme="majorBidi"/>
                <w:sz w:val="20"/>
                <w:szCs w:val="20"/>
                <w:lang w:val="es-CO"/>
              </w:rPr>
              <w:t>Refuerza la necesidad de protocolos intersectoriales para evitar impactos en humedales, cauces y territorios indígenas.</w:t>
            </w:r>
          </w:p>
        </w:tc>
      </w:tr>
      <w:tr w:rsidR="00527B8C" w:rsidTr="544B9055" w14:paraId="620A4B93" w14:textId="77777777">
        <w:trPr>
          <w:trHeight w:val="300"/>
        </w:trPr>
        <w:tc>
          <w:tcPr>
            <w:tcW w:w="2220" w:type="dxa"/>
            <w:shd w:val="clear" w:color="auto" w:fill="F2F2F2" w:themeFill="background1" w:themeFillShade="F2"/>
            <w:tcMar/>
            <w:vAlign w:val="center"/>
          </w:tcPr>
          <w:p w:rsidR="00527B8C" w:rsidP="002352AE" w:rsidRDefault="00212A57" w14:paraId="507E7E65" w14:textId="77777777">
            <w:pPr>
              <w:spacing w:after="0" w:line="240" w:lineRule="auto"/>
              <w:jc w:val="both"/>
              <w:rPr>
                <w:rFonts w:cs="Calibri"/>
                <w:b/>
                <w:bCs/>
                <w:sz w:val="20"/>
                <w:szCs w:val="20"/>
                <w:lang w:val="es-CO"/>
              </w:rPr>
            </w:pPr>
            <w:r>
              <w:rPr>
                <w:rFonts w:cs="Calibri"/>
                <w:b/>
                <w:bCs/>
                <w:color w:val="000000" w:themeColor="text1"/>
                <w:sz w:val="20"/>
                <w:szCs w:val="20"/>
                <w:lang w:val="es-CO"/>
              </w:rPr>
              <w:t>Decreto 953 de 2013</w:t>
            </w:r>
          </w:p>
        </w:tc>
        <w:tc>
          <w:tcPr>
            <w:tcW w:w="3310" w:type="dxa"/>
            <w:shd w:val="clear" w:color="auto" w:fill="F2F2F2" w:themeFill="background1" w:themeFillShade="F2"/>
            <w:tcMar/>
            <w:vAlign w:val="center"/>
          </w:tcPr>
          <w:p w:rsidR="00527B8C" w:rsidP="002352AE" w:rsidRDefault="00212A57" w14:paraId="1FC3DB69" w14:textId="77777777">
            <w:pPr>
              <w:spacing w:after="0" w:line="240" w:lineRule="auto"/>
              <w:jc w:val="both"/>
              <w:rPr>
                <w:rFonts w:cs="Calibri"/>
                <w:sz w:val="20"/>
                <w:szCs w:val="20"/>
                <w:lang w:val="es-CO"/>
              </w:rPr>
            </w:pPr>
            <w:r>
              <w:rPr>
                <w:rFonts w:cs="Calibri"/>
                <w:color w:val="000000" w:themeColor="text1"/>
                <w:sz w:val="20"/>
                <w:szCs w:val="20"/>
                <w:lang w:val="es-CO"/>
              </w:rPr>
              <w:t xml:space="preserve">Por el cual se reglamenta el artículo 111 de la Ley 99 de 1993, modificado por el artículo 210 de la Ley 1450 de 2011 para la conservación de áreas estratégicas para el suministro de agua a los acueductos municipales, distritales y regionales a través de la adquisición de predios ubicados en estas áreas o la financiación de esquemas de Pago por Servicios Ambientales. </w:t>
            </w:r>
            <w:r>
              <w:rPr>
                <w:rFonts w:cs="Calibri"/>
                <w:sz w:val="20"/>
                <w:szCs w:val="20"/>
                <w:lang w:val="es-CO"/>
              </w:rPr>
              <w:t xml:space="preserve"> </w:t>
            </w:r>
          </w:p>
        </w:tc>
        <w:tc>
          <w:tcPr>
            <w:tcW w:w="3240" w:type="dxa"/>
            <w:shd w:val="clear" w:color="auto" w:fill="F2F2F2" w:themeFill="background1" w:themeFillShade="F2"/>
            <w:tcMar/>
            <w:vAlign w:val="center"/>
          </w:tcPr>
          <w:p w:rsidR="00527B8C" w:rsidP="002352AE" w:rsidRDefault="00212A57" w14:paraId="37C50225" w14:textId="77777777">
            <w:pPr>
              <w:spacing w:after="0" w:line="240" w:lineRule="auto"/>
              <w:jc w:val="both"/>
              <w:rPr>
                <w:rFonts w:cs="Calibri"/>
                <w:sz w:val="20"/>
                <w:szCs w:val="20"/>
                <w:lang w:val="es"/>
              </w:rPr>
            </w:pPr>
            <w:r>
              <w:rPr>
                <w:rFonts w:cs="Calibri"/>
                <w:sz w:val="20"/>
                <w:szCs w:val="20"/>
                <w:lang w:val="es-CO"/>
              </w:rPr>
              <w:t xml:space="preserve">Define qué actividades requieren licencia ambiental. </w:t>
            </w:r>
          </w:p>
          <w:p w:rsidR="00527B8C" w:rsidP="002352AE" w:rsidRDefault="00212A57" w14:paraId="1BF0055C" w14:textId="77777777">
            <w:pPr>
              <w:spacing w:after="0" w:line="240" w:lineRule="auto"/>
              <w:jc w:val="both"/>
              <w:rPr>
                <w:rFonts w:cs="Calibri"/>
                <w:sz w:val="20"/>
                <w:szCs w:val="20"/>
                <w:lang w:val="es"/>
              </w:rPr>
            </w:pPr>
            <w:r>
              <w:rPr>
                <w:rFonts w:cs="Calibri"/>
                <w:sz w:val="20"/>
                <w:szCs w:val="20"/>
                <w:lang w:val="es-CO"/>
              </w:rPr>
              <w:t>Incluye expresamente la explotación de materiales de arrastre en cauces de ríos y quebradas como una actividad que puede generar impactos significativos, por lo que debe estar sometida a evaluación ambiental.</w:t>
            </w:r>
            <w:r>
              <w:rPr>
                <w:rFonts w:cs="Calibri"/>
                <w:sz w:val="20"/>
                <w:szCs w:val="20"/>
                <w:lang w:val="es"/>
              </w:rPr>
              <w:t xml:space="preserve"> </w:t>
            </w:r>
          </w:p>
        </w:tc>
      </w:tr>
      <w:tr w:rsidR="00527B8C" w:rsidTr="544B9055" w14:paraId="425B5D08" w14:textId="77777777">
        <w:trPr>
          <w:trHeight w:val="300"/>
        </w:trPr>
        <w:tc>
          <w:tcPr>
            <w:tcW w:w="2220" w:type="dxa"/>
            <w:tcMar/>
            <w:vAlign w:val="center"/>
          </w:tcPr>
          <w:p w:rsidR="00527B8C" w:rsidP="002352AE" w:rsidRDefault="00212A57" w14:paraId="4002263C" w14:textId="77777777">
            <w:pPr>
              <w:spacing w:after="0" w:line="240" w:lineRule="auto"/>
              <w:jc w:val="both"/>
              <w:rPr>
                <w:rFonts w:cs="Calibri"/>
                <w:b/>
                <w:bCs/>
                <w:sz w:val="20"/>
                <w:szCs w:val="20"/>
                <w:lang w:val="es-CO"/>
              </w:rPr>
            </w:pPr>
            <w:r>
              <w:rPr>
                <w:rFonts w:cs="Calibri"/>
                <w:b/>
                <w:bCs/>
                <w:color w:val="000000" w:themeColor="text1"/>
                <w:sz w:val="20"/>
                <w:szCs w:val="20"/>
                <w:lang w:val="es-CO"/>
              </w:rPr>
              <w:t xml:space="preserve">Resolución 1907 de 2013 </w:t>
            </w:r>
          </w:p>
        </w:tc>
        <w:tc>
          <w:tcPr>
            <w:tcW w:w="3310" w:type="dxa"/>
            <w:tcMar/>
            <w:vAlign w:val="center"/>
          </w:tcPr>
          <w:p w:rsidR="00527B8C" w:rsidP="002352AE" w:rsidRDefault="00212A57" w14:paraId="2D81B1DA" w14:textId="77777777">
            <w:pPr>
              <w:spacing w:after="0" w:line="240" w:lineRule="auto"/>
              <w:jc w:val="both"/>
              <w:rPr>
                <w:rFonts w:cs="Calibri"/>
                <w:sz w:val="20"/>
                <w:szCs w:val="20"/>
                <w:lang w:val="es-CO"/>
              </w:rPr>
            </w:pPr>
            <w:r>
              <w:rPr>
                <w:rFonts w:cs="Calibri"/>
                <w:color w:val="000000" w:themeColor="text1"/>
                <w:sz w:val="20"/>
                <w:szCs w:val="20"/>
                <w:lang w:val="es-CO"/>
              </w:rPr>
              <w:t xml:space="preserve">Por la cual se expide la Guía Técnica para la Formulación de los Planes de Ordenación y Manejo de Cuencas Hidrográficas. </w:t>
            </w:r>
            <w:r>
              <w:rPr>
                <w:rFonts w:cs="Calibri"/>
                <w:sz w:val="20"/>
                <w:szCs w:val="20"/>
                <w:lang w:val="es-CO"/>
              </w:rPr>
              <w:t xml:space="preserve"> </w:t>
            </w:r>
          </w:p>
        </w:tc>
        <w:tc>
          <w:tcPr>
            <w:tcW w:w="3240" w:type="dxa"/>
            <w:tcMar/>
            <w:vAlign w:val="center"/>
          </w:tcPr>
          <w:p w:rsidR="00527B8C" w:rsidP="002352AE" w:rsidRDefault="00212A57" w14:paraId="6390BACE" w14:textId="77777777">
            <w:pPr>
              <w:spacing w:after="0" w:line="240" w:lineRule="auto"/>
              <w:jc w:val="both"/>
              <w:rPr>
                <w:rFonts w:cs="Calibri"/>
                <w:sz w:val="20"/>
                <w:szCs w:val="20"/>
                <w:lang w:val="es-CO"/>
              </w:rPr>
            </w:pPr>
            <w:r>
              <w:rPr>
                <w:rFonts w:cs="Calibri"/>
                <w:sz w:val="20"/>
                <w:szCs w:val="20"/>
                <w:lang w:val="es-CO"/>
              </w:rPr>
              <w:t>Regula exactamente cómo deben elaborarse y presentarse los PMA para los proyectos de explotación en ríos y quebradas</w:t>
            </w:r>
            <w:r>
              <w:rPr>
                <w:rFonts w:cs="Calibri"/>
                <w:b/>
                <w:bCs/>
                <w:sz w:val="20"/>
                <w:szCs w:val="20"/>
                <w:lang w:val="es-CO"/>
              </w:rPr>
              <w:t xml:space="preserve">, </w:t>
            </w:r>
            <w:r>
              <w:rPr>
                <w:rFonts w:cs="Calibri"/>
                <w:sz w:val="20"/>
                <w:szCs w:val="20"/>
                <w:lang w:val="es-CO"/>
              </w:rPr>
              <w:t>y define los</w:t>
            </w:r>
            <w:r>
              <w:rPr>
                <w:rFonts w:cs="Calibri"/>
                <w:b/>
                <w:bCs/>
                <w:sz w:val="20"/>
                <w:szCs w:val="20"/>
                <w:lang w:val="es-CO"/>
              </w:rPr>
              <w:t xml:space="preserve"> </w:t>
            </w:r>
            <w:r>
              <w:rPr>
                <w:rFonts w:cs="Calibri"/>
                <w:sz w:val="20"/>
                <w:szCs w:val="20"/>
                <w:lang w:val="es-CO"/>
              </w:rPr>
              <w:t>estudios técnicos, medidas de manejo, monitoreo y condiciones ambientales</w:t>
            </w:r>
            <w:r>
              <w:rPr>
                <w:rFonts w:cs="Calibri"/>
                <w:b/>
                <w:bCs/>
                <w:sz w:val="20"/>
                <w:szCs w:val="20"/>
                <w:lang w:val="es-CO"/>
              </w:rPr>
              <w:t xml:space="preserve"> </w:t>
            </w:r>
            <w:r>
              <w:rPr>
                <w:rFonts w:cs="Calibri"/>
                <w:sz w:val="20"/>
                <w:szCs w:val="20"/>
                <w:lang w:val="es-CO"/>
              </w:rPr>
              <w:t>que deben cumplirse para obtener la autorización ambiental.</w:t>
            </w:r>
          </w:p>
        </w:tc>
      </w:tr>
      <w:tr w:rsidR="00527B8C" w:rsidTr="544B9055" w14:paraId="7124770F" w14:textId="77777777">
        <w:trPr>
          <w:trHeight w:val="3750"/>
        </w:trPr>
        <w:tc>
          <w:tcPr>
            <w:tcW w:w="2220" w:type="dxa"/>
            <w:shd w:val="clear" w:color="auto" w:fill="F2F2F2" w:themeFill="background1" w:themeFillShade="F2"/>
            <w:tcMar/>
            <w:vAlign w:val="center"/>
          </w:tcPr>
          <w:p w:rsidR="00527B8C" w:rsidP="002352AE" w:rsidRDefault="00212A57" w14:paraId="460CE0D6" w14:textId="77777777">
            <w:pPr>
              <w:spacing w:after="0" w:line="240" w:lineRule="auto"/>
              <w:jc w:val="both"/>
              <w:rPr>
                <w:rFonts w:cs="Calibri"/>
                <w:b/>
                <w:bCs/>
                <w:sz w:val="20"/>
                <w:szCs w:val="20"/>
                <w:lang w:val="es-CO"/>
              </w:rPr>
            </w:pPr>
            <w:r>
              <w:rPr>
                <w:rFonts w:cs="Calibri"/>
                <w:b/>
                <w:bCs/>
                <w:color w:val="000000" w:themeColor="text1"/>
                <w:sz w:val="20"/>
                <w:szCs w:val="20"/>
                <w:lang w:val="es-CO"/>
              </w:rPr>
              <w:t>Decreto 1076 de 2015</w:t>
            </w:r>
          </w:p>
          <w:p w:rsidR="00527B8C" w:rsidP="002352AE" w:rsidRDefault="00527B8C" w14:paraId="771A3EEA" w14:textId="77777777">
            <w:pPr>
              <w:spacing w:after="0" w:line="240" w:lineRule="auto"/>
              <w:jc w:val="both"/>
              <w:rPr>
                <w:rFonts w:cs="Calibri"/>
                <w:b/>
                <w:bCs/>
                <w:color w:val="000000" w:themeColor="text1"/>
                <w:sz w:val="20"/>
                <w:szCs w:val="20"/>
                <w:lang w:val="es-CO"/>
              </w:rPr>
            </w:pPr>
          </w:p>
        </w:tc>
        <w:tc>
          <w:tcPr>
            <w:tcW w:w="3310" w:type="dxa"/>
            <w:shd w:val="clear" w:color="auto" w:fill="F2F2F2" w:themeFill="background1" w:themeFillShade="F2"/>
            <w:tcMar/>
            <w:vAlign w:val="center"/>
          </w:tcPr>
          <w:p w:rsidR="00527B8C" w:rsidP="002352AE" w:rsidRDefault="00212A57" w14:paraId="44EC9AA8" w14:textId="77777777">
            <w:pPr>
              <w:spacing w:after="0" w:line="240" w:lineRule="auto"/>
              <w:jc w:val="both"/>
              <w:rPr>
                <w:rFonts w:cs="Calibri"/>
                <w:sz w:val="20"/>
                <w:szCs w:val="20"/>
                <w:lang w:val="es-CO"/>
              </w:rPr>
            </w:pPr>
            <w:r>
              <w:rPr>
                <w:rFonts w:cs="Calibri"/>
                <w:sz w:val="20"/>
                <w:szCs w:val="20"/>
                <w:lang w:val="es-CO"/>
              </w:rPr>
              <w:t>Este decreto establece que ciertos proyectos de explotación de materiales inundables o de arrastre requieren Licencia Ambiental por parte de la ANLA, según el volumen previsto:</w:t>
            </w:r>
          </w:p>
          <w:p w:rsidR="00527B8C" w:rsidP="002352AE" w:rsidRDefault="00212A57" w14:paraId="43F5FE6A" w14:textId="77777777">
            <w:pPr>
              <w:spacing w:after="0" w:line="240" w:lineRule="auto"/>
              <w:jc w:val="both"/>
              <w:rPr>
                <w:rFonts w:cs="Calibri"/>
                <w:sz w:val="20"/>
                <w:szCs w:val="20"/>
                <w:lang w:val="es-CO"/>
              </w:rPr>
            </w:pPr>
            <w:r>
              <w:rPr>
                <w:rFonts w:cs="Calibri"/>
                <w:sz w:val="20"/>
                <w:szCs w:val="20"/>
                <w:lang w:val="es-CO"/>
              </w:rPr>
              <w:t xml:space="preserve">Para materiales de construcción, arcillas o minerales industriales no metálicos, se requiere licencia si la producción anual es: </w:t>
            </w:r>
          </w:p>
          <w:p w:rsidR="00527B8C" w:rsidP="002352AE" w:rsidRDefault="00212A57" w14:paraId="4F2E0B1D" w14:textId="77777777">
            <w:pPr>
              <w:spacing w:after="0" w:line="240" w:lineRule="auto"/>
              <w:jc w:val="both"/>
              <w:rPr>
                <w:rFonts w:cs="Calibri"/>
                <w:sz w:val="20"/>
                <w:szCs w:val="20"/>
                <w:lang w:val="es-CO"/>
              </w:rPr>
            </w:pPr>
            <w:r>
              <w:rPr>
                <w:rFonts w:cs="Calibri"/>
                <w:sz w:val="20"/>
                <w:szCs w:val="20"/>
                <w:lang w:val="es-CO"/>
              </w:rPr>
              <w:t>≥ 600.000 toneladas para arcillas, o</w:t>
            </w:r>
          </w:p>
          <w:p w:rsidR="00527B8C" w:rsidP="002352AE" w:rsidRDefault="00212A57" w14:paraId="346D32E0" w14:textId="77777777">
            <w:pPr>
              <w:spacing w:after="0" w:line="240" w:lineRule="auto"/>
              <w:jc w:val="both"/>
              <w:rPr>
                <w:rFonts w:cs="Calibri"/>
                <w:sz w:val="20"/>
                <w:szCs w:val="20"/>
                <w:lang w:val="es-CO"/>
              </w:rPr>
            </w:pPr>
            <w:r>
              <w:rPr>
                <w:rFonts w:cs="Calibri"/>
                <w:sz w:val="20"/>
                <w:szCs w:val="20"/>
                <w:lang w:val="es-CO"/>
              </w:rPr>
              <w:t>≥ 250.000 metros cúbicos para otros materiales de construcción o minerales industriales.</w:t>
            </w:r>
          </w:p>
        </w:tc>
        <w:tc>
          <w:tcPr>
            <w:tcW w:w="3240" w:type="dxa"/>
            <w:shd w:val="clear" w:color="auto" w:fill="F2F2F2" w:themeFill="background1" w:themeFillShade="F2"/>
            <w:tcMar/>
            <w:vAlign w:val="center"/>
          </w:tcPr>
          <w:p w:rsidR="00527B8C" w:rsidP="002352AE" w:rsidRDefault="00212A57" w14:paraId="5C457EF5" w14:textId="77777777">
            <w:pPr>
              <w:spacing w:after="0" w:line="240" w:lineRule="auto"/>
              <w:jc w:val="both"/>
              <w:rPr>
                <w:rFonts w:cs="Calibri"/>
                <w:sz w:val="20"/>
                <w:szCs w:val="20"/>
                <w:lang w:val="es-CO"/>
              </w:rPr>
            </w:pPr>
            <w:r>
              <w:rPr>
                <w:rFonts w:cs="Calibri"/>
                <w:sz w:val="20"/>
                <w:szCs w:val="20"/>
                <w:lang w:val="es-CO"/>
              </w:rPr>
              <w:t>Fija criterios de obligatoriedad de licencia ambiental para la explotación de materiales de arrastre, en función de su volumen anual, bajo gestión de la ANLA.</w:t>
            </w:r>
          </w:p>
        </w:tc>
      </w:tr>
      <w:tr w:rsidR="00527B8C" w:rsidTr="544B9055" w14:paraId="30E670A6" w14:textId="77777777">
        <w:trPr>
          <w:trHeight w:val="300"/>
        </w:trPr>
        <w:tc>
          <w:tcPr>
            <w:tcW w:w="2220" w:type="dxa"/>
            <w:tcMar/>
            <w:vAlign w:val="center"/>
          </w:tcPr>
          <w:p w:rsidR="00527B8C" w:rsidP="002352AE" w:rsidRDefault="00212A57" w14:paraId="1EF87688" w14:textId="77777777">
            <w:pPr>
              <w:spacing w:after="0" w:line="240" w:lineRule="auto"/>
              <w:jc w:val="both"/>
              <w:rPr>
                <w:rFonts w:cs="Calibri"/>
                <w:b/>
                <w:bCs/>
                <w:sz w:val="20"/>
                <w:szCs w:val="20"/>
                <w:lang w:val="es-CO"/>
              </w:rPr>
            </w:pPr>
            <w:r>
              <w:rPr>
                <w:rFonts w:cs="Calibri"/>
                <w:b/>
                <w:bCs/>
                <w:color w:val="000000" w:themeColor="text1"/>
                <w:sz w:val="20"/>
                <w:szCs w:val="20"/>
                <w:lang w:val="es-CO"/>
              </w:rPr>
              <w:t xml:space="preserve">Decreto 1076 de 2015, artículo 2.2.2.2.1.3. </w:t>
            </w:r>
            <w:r>
              <w:rPr>
                <w:rFonts w:cs="Calibri"/>
                <w:b/>
                <w:bCs/>
                <w:sz w:val="20"/>
                <w:szCs w:val="20"/>
                <w:lang w:val="es-CO"/>
              </w:rPr>
              <w:t xml:space="preserve"> </w:t>
            </w:r>
          </w:p>
          <w:p w:rsidR="00527B8C" w:rsidP="002352AE" w:rsidRDefault="00527B8C" w14:paraId="3CE81174" w14:textId="77777777">
            <w:pPr>
              <w:spacing w:after="0" w:line="240" w:lineRule="auto"/>
              <w:jc w:val="both"/>
              <w:rPr>
                <w:rFonts w:cs="Calibri"/>
                <w:b/>
                <w:bCs/>
                <w:color w:val="000000" w:themeColor="text1"/>
                <w:sz w:val="20"/>
                <w:szCs w:val="20"/>
                <w:lang w:val="es-CO"/>
              </w:rPr>
            </w:pPr>
          </w:p>
        </w:tc>
        <w:tc>
          <w:tcPr>
            <w:tcW w:w="3310" w:type="dxa"/>
            <w:tcMar/>
            <w:vAlign w:val="center"/>
          </w:tcPr>
          <w:p w:rsidR="00527B8C" w:rsidP="002352AE" w:rsidRDefault="00212A57" w14:paraId="2DF26503" w14:textId="77777777">
            <w:pPr>
              <w:spacing w:after="0" w:line="240" w:lineRule="auto"/>
              <w:jc w:val="both"/>
              <w:rPr>
                <w:rFonts w:cs="Calibri"/>
                <w:sz w:val="20"/>
                <w:szCs w:val="20"/>
                <w:lang w:val="es-CO"/>
              </w:rPr>
            </w:pPr>
            <w:r>
              <w:rPr>
                <w:rFonts w:cs="Calibri"/>
                <w:sz w:val="20"/>
                <w:szCs w:val="20"/>
                <w:lang w:val="es-CO"/>
              </w:rPr>
              <w:t>Establece claramente el alcance de la competencia de la Autoridad Nacional de Licencias Ambientales (ANLA) en cuanto a la explotación de materiales de arrastre (arena, grava, otros agregados aluviales).</w:t>
            </w:r>
          </w:p>
          <w:p w:rsidR="00527B8C" w:rsidP="002352AE" w:rsidRDefault="00527B8C" w14:paraId="4719DDB6" w14:textId="77777777">
            <w:pPr>
              <w:spacing w:after="0" w:line="240" w:lineRule="auto"/>
              <w:jc w:val="both"/>
              <w:rPr>
                <w:rFonts w:cs="Calibri"/>
                <w:sz w:val="20"/>
                <w:szCs w:val="20"/>
                <w:lang w:val="es-CO"/>
              </w:rPr>
            </w:pPr>
          </w:p>
          <w:p w:rsidR="00527B8C" w:rsidP="002352AE" w:rsidRDefault="00527B8C" w14:paraId="465B5CBE" w14:textId="77777777">
            <w:pPr>
              <w:spacing w:after="0" w:line="240" w:lineRule="auto"/>
              <w:jc w:val="both"/>
              <w:rPr>
                <w:rFonts w:cs="Calibri"/>
                <w:color w:val="000000" w:themeColor="text1"/>
                <w:sz w:val="20"/>
                <w:szCs w:val="20"/>
                <w:lang w:val="es-CO"/>
              </w:rPr>
            </w:pPr>
          </w:p>
        </w:tc>
        <w:tc>
          <w:tcPr>
            <w:tcW w:w="3240" w:type="dxa"/>
            <w:tcMar/>
            <w:vAlign w:val="center"/>
          </w:tcPr>
          <w:p w:rsidR="00527B8C" w:rsidP="002352AE" w:rsidRDefault="00212A57" w14:paraId="3A01C5C2" w14:textId="77777777">
            <w:pPr>
              <w:spacing w:after="0" w:line="240" w:lineRule="auto"/>
              <w:jc w:val="both"/>
              <w:rPr>
                <w:rFonts w:cs="Calibri"/>
                <w:sz w:val="20"/>
                <w:szCs w:val="20"/>
                <w:lang w:val="es-CO"/>
              </w:rPr>
            </w:pPr>
            <w:r>
              <w:rPr>
                <w:rFonts w:cs="Calibri"/>
                <w:sz w:val="20"/>
                <w:szCs w:val="20"/>
                <w:lang w:val="es-CO"/>
              </w:rPr>
              <w:t>Asegura un control centralizado y unificado por parte de la ANLA sobre actividades con alto potencial de impacto ambiental debido a la extracción de material de arrastre.</w:t>
            </w:r>
          </w:p>
          <w:p w:rsidR="00527B8C" w:rsidP="002352AE" w:rsidRDefault="00212A57" w14:paraId="710C6A0E" w14:textId="77777777">
            <w:pPr>
              <w:spacing w:after="0" w:line="240" w:lineRule="auto"/>
              <w:jc w:val="both"/>
              <w:rPr>
                <w:rFonts w:cs="Calibri"/>
                <w:sz w:val="20"/>
                <w:szCs w:val="20"/>
                <w:lang w:val="es-CO"/>
              </w:rPr>
            </w:pPr>
            <w:r>
              <w:rPr>
                <w:rFonts w:cs="Calibri"/>
                <w:sz w:val="20"/>
                <w:szCs w:val="20"/>
                <w:lang w:val="es-CO"/>
              </w:rPr>
              <w:t>Establece claridad respecto a cuándo un proyecto de este tipo requiere una licencia ambiental completa, evitando aplicación parcial por múltiples entidades.</w:t>
            </w:r>
          </w:p>
          <w:p w:rsidR="00527B8C" w:rsidP="002352AE" w:rsidRDefault="00212A57" w14:paraId="044D9F57" w14:textId="77777777">
            <w:pPr>
              <w:spacing w:after="0" w:line="240" w:lineRule="auto"/>
              <w:jc w:val="both"/>
              <w:rPr>
                <w:rFonts w:cs="Calibri"/>
                <w:sz w:val="20"/>
                <w:szCs w:val="20"/>
                <w:lang w:val="es-CO"/>
              </w:rPr>
            </w:pPr>
            <w:r>
              <w:rPr>
                <w:rFonts w:cs="Calibri"/>
                <w:sz w:val="20"/>
                <w:szCs w:val="20"/>
                <w:lang w:val="es-CO"/>
              </w:rPr>
              <w:t>Este artículo es crucial porque determina de manera explícita que la explotación de estos recursos está regulada y requiere la aprobación ambiental de la ANLA, garantizando la gestión ambiental de los proyectos impactantes.</w:t>
            </w:r>
          </w:p>
        </w:tc>
      </w:tr>
      <w:tr w:rsidR="00527B8C" w:rsidTr="544B9055" w14:paraId="229F1F6E" w14:textId="77777777">
        <w:trPr>
          <w:trHeight w:val="300"/>
        </w:trPr>
        <w:tc>
          <w:tcPr>
            <w:tcW w:w="2220" w:type="dxa"/>
            <w:shd w:val="clear" w:color="auto" w:fill="F2F2F2" w:themeFill="background1" w:themeFillShade="F2"/>
            <w:tcMar/>
            <w:vAlign w:val="center"/>
          </w:tcPr>
          <w:p w:rsidR="00527B8C" w:rsidP="002352AE" w:rsidRDefault="00212A57" w14:paraId="137C51F2" w14:textId="77777777">
            <w:pPr>
              <w:spacing w:after="0" w:line="240" w:lineRule="auto"/>
              <w:jc w:val="both"/>
              <w:rPr>
                <w:rFonts w:cs="Calibri"/>
                <w:b/>
                <w:bCs/>
                <w:sz w:val="20"/>
                <w:szCs w:val="20"/>
                <w:lang w:val="es-CO"/>
              </w:rPr>
            </w:pPr>
            <w:r>
              <w:rPr>
                <w:rFonts w:cs="Calibri"/>
                <w:b/>
                <w:bCs/>
                <w:color w:val="000000" w:themeColor="text1"/>
                <w:sz w:val="20"/>
                <w:szCs w:val="20"/>
                <w:lang w:val="es-CO"/>
              </w:rPr>
              <w:t>Resolución 40103 de 2017</w:t>
            </w:r>
          </w:p>
          <w:p w:rsidR="00527B8C" w:rsidP="002352AE" w:rsidRDefault="00527B8C" w14:paraId="236068E3" w14:textId="77777777">
            <w:pPr>
              <w:spacing w:after="0" w:line="240" w:lineRule="auto"/>
              <w:jc w:val="both"/>
              <w:rPr>
                <w:rFonts w:cs="Calibri"/>
                <w:b/>
                <w:bCs/>
                <w:color w:val="000000" w:themeColor="text1"/>
                <w:sz w:val="20"/>
                <w:szCs w:val="20"/>
                <w:lang w:val="es-CO"/>
              </w:rPr>
            </w:pPr>
          </w:p>
        </w:tc>
        <w:tc>
          <w:tcPr>
            <w:tcW w:w="3310" w:type="dxa"/>
            <w:shd w:val="clear" w:color="auto" w:fill="F2F2F2" w:themeFill="background1" w:themeFillShade="F2"/>
            <w:tcMar/>
            <w:vAlign w:val="center"/>
          </w:tcPr>
          <w:p w:rsidR="00527B8C" w:rsidP="002352AE" w:rsidRDefault="00212A57" w14:paraId="44A49A3E" w14:textId="77777777">
            <w:pPr>
              <w:spacing w:after="0" w:line="240" w:lineRule="auto"/>
              <w:jc w:val="both"/>
              <w:rPr>
                <w:rFonts w:cs="Calibri"/>
                <w:sz w:val="20"/>
                <w:szCs w:val="20"/>
                <w:lang w:val="es-CO"/>
              </w:rPr>
            </w:pPr>
            <w:r>
              <w:rPr>
                <w:rFonts w:cs="Calibri"/>
                <w:color w:val="000000" w:themeColor="text1"/>
                <w:sz w:val="20"/>
                <w:szCs w:val="20"/>
                <w:lang w:val="es-CO"/>
              </w:rPr>
              <w:t>Por la cual se establecen los volúmenes máximos de producción en la minería de subsistencia.</w:t>
            </w:r>
          </w:p>
          <w:p w:rsidR="00527B8C" w:rsidP="002352AE" w:rsidRDefault="00527B8C" w14:paraId="79BE04D3" w14:textId="77777777">
            <w:pPr>
              <w:spacing w:after="0" w:line="240" w:lineRule="auto"/>
              <w:jc w:val="both"/>
              <w:rPr>
                <w:rFonts w:cs="Calibri"/>
                <w:color w:val="000000" w:themeColor="text1"/>
                <w:sz w:val="20"/>
                <w:szCs w:val="20"/>
                <w:lang w:val="es-CO"/>
              </w:rPr>
            </w:pPr>
          </w:p>
        </w:tc>
        <w:tc>
          <w:tcPr>
            <w:tcW w:w="3240" w:type="dxa"/>
            <w:shd w:val="clear" w:color="auto" w:fill="F2F2F2" w:themeFill="background1" w:themeFillShade="F2"/>
            <w:tcMar/>
            <w:vAlign w:val="center"/>
          </w:tcPr>
          <w:p w:rsidR="00527B8C" w:rsidP="002352AE" w:rsidRDefault="00212A57" w14:paraId="09CC1DB9" w14:textId="77777777">
            <w:pPr>
              <w:spacing w:after="0" w:line="240" w:lineRule="auto"/>
              <w:jc w:val="both"/>
              <w:rPr>
                <w:rFonts w:cs="Calibri"/>
                <w:sz w:val="20"/>
                <w:szCs w:val="20"/>
                <w:lang w:val="es-CO"/>
              </w:rPr>
            </w:pPr>
            <w:r>
              <w:rPr>
                <w:rFonts w:cs="Calibri"/>
                <w:sz w:val="20"/>
                <w:szCs w:val="20"/>
                <w:lang w:val="es-CO"/>
              </w:rPr>
              <w:t>Control y legalidad: Permite clasificar actividades de extracción artesanal de arenas y gravas dentro de la figura de minería de subsistencia, siempre que se respeten los límites de producción establecidos.</w:t>
            </w:r>
          </w:p>
          <w:p w:rsidR="00527B8C" w:rsidP="002352AE" w:rsidRDefault="00212A57" w14:paraId="769CFA7A" w14:textId="77777777">
            <w:pPr>
              <w:spacing w:after="0" w:line="240" w:lineRule="auto"/>
              <w:jc w:val="both"/>
              <w:rPr>
                <w:rFonts w:cs="Calibri"/>
                <w:sz w:val="20"/>
                <w:szCs w:val="20"/>
                <w:lang w:val="es-CO"/>
              </w:rPr>
            </w:pPr>
            <w:r>
              <w:rPr>
                <w:rFonts w:cs="Calibri"/>
                <w:sz w:val="20"/>
                <w:szCs w:val="20"/>
                <w:lang w:val="es-CO"/>
              </w:rPr>
              <w:t>Fiscalización y registro: Facilita el control y registro ante la Agencia Nacional de Minería (ANM), especialmente por medio del RUCOM.</w:t>
            </w:r>
          </w:p>
          <w:p w:rsidR="00527B8C" w:rsidP="002352AE" w:rsidRDefault="00212A57" w14:paraId="7F4203F7" w14:textId="77777777">
            <w:pPr>
              <w:spacing w:after="0" w:line="240" w:lineRule="auto"/>
              <w:jc w:val="both"/>
              <w:rPr>
                <w:rFonts w:cs="Calibri"/>
                <w:sz w:val="20"/>
                <w:szCs w:val="20"/>
                <w:lang w:val="es-CO"/>
              </w:rPr>
            </w:pPr>
            <w:r>
              <w:rPr>
                <w:rFonts w:cs="Calibri"/>
                <w:sz w:val="20"/>
                <w:szCs w:val="20"/>
                <w:lang w:val="es-CO"/>
              </w:rPr>
              <w:t>Diferenciación por fuente geológica: Reconoce de manera específica que solo se considera subsistencia si el origen es un cauce o ribera, evitando la confusión con extracción industrial de otros tipos de arenas.</w:t>
            </w:r>
          </w:p>
        </w:tc>
      </w:tr>
      <w:tr w:rsidR="00527B8C" w:rsidTr="544B9055" w14:paraId="3D19ECF0" w14:textId="77777777">
        <w:trPr>
          <w:trHeight w:val="300"/>
        </w:trPr>
        <w:tc>
          <w:tcPr>
            <w:tcW w:w="2220" w:type="dxa"/>
            <w:tcMar/>
            <w:vAlign w:val="center"/>
          </w:tcPr>
          <w:p w:rsidR="00527B8C" w:rsidP="002352AE" w:rsidRDefault="00212A57" w14:paraId="4D858CD0" w14:textId="77777777">
            <w:pPr>
              <w:spacing w:after="0" w:line="240" w:lineRule="auto"/>
              <w:jc w:val="both"/>
              <w:rPr>
                <w:rFonts w:cs="Calibri"/>
                <w:b/>
                <w:bCs/>
                <w:sz w:val="20"/>
                <w:szCs w:val="20"/>
                <w:lang w:val="es-CO"/>
              </w:rPr>
            </w:pPr>
            <w:r>
              <w:rPr>
                <w:rFonts w:cs="Calibri"/>
                <w:b/>
                <w:bCs/>
                <w:color w:val="000000" w:themeColor="text1"/>
                <w:sz w:val="20"/>
                <w:szCs w:val="20"/>
                <w:lang w:val="es-CO"/>
              </w:rPr>
              <w:t>Resolución 0566 de 2018</w:t>
            </w:r>
          </w:p>
          <w:p w:rsidR="00527B8C" w:rsidP="002352AE" w:rsidRDefault="00527B8C" w14:paraId="1777D6D7" w14:textId="77777777">
            <w:pPr>
              <w:spacing w:after="0" w:line="240" w:lineRule="auto"/>
              <w:jc w:val="both"/>
              <w:rPr>
                <w:rFonts w:cs="Calibri"/>
                <w:b/>
                <w:bCs/>
                <w:color w:val="000000" w:themeColor="text1"/>
                <w:sz w:val="20"/>
                <w:szCs w:val="20"/>
                <w:lang w:val="es-CO"/>
              </w:rPr>
            </w:pPr>
          </w:p>
        </w:tc>
        <w:tc>
          <w:tcPr>
            <w:tcW w:w="3310" w:type="dxa"/>
            <w:tcMar/>
            <w:vAlign w:val="center"/>
          </w:tcPr>
          <w:p w:rsidR="00527B8C" w:rsidP="002352AE" w:rsidRDefault="00212A57" w14:paraId="6B79B053" w14:textId="77777777">
            <w:pPr>
              <w:spacing w:after="0" w:line="240" w:lineRule="auto"/>
              <w:jc w:val="both"/>
              <w:rPr>
                <w:rFonts w:cs="Calibri"/>
                <w:sz w:val="20"/>
                <w:szCs w:val="20"/>
                <w:lang w:val="es-CO"/>
              </w:rPr>
            </w:pPr>
            <w:r>
              <w:rPr>
                <w:rFonts w:cs="Calibri"/>
                <w:sz w:val="20"/>
                <w:szCs w:val="20"/>
                <w:lang w:val="es-CO"/>
              </w:rPr>
              <w:t>Establece los términos de referencia para la elaboración del Plan de Manejo Ambiental (PMA) aplicable a proyectos que requieren licencia ambiental, incluyendo actividades mineras.</w:t>
            </w:r>
          </w:p>
          <w:p w:rsidR="00527B8C" w:rsidP="002352AE" w:rsidRDefault="00527B8C" w14:paraId="366E3F2A" w14:textId="77777777">
            <w:pPr>
              <w:spacing w:after="0" w:line="240" w:lineRule="auto"/>
              <w:jc w:val="both"/>
              <w:rPr>
                <w:rFonts w:cs="Calibri"/>
                <w:color w:val="000000" w:themeColor="text1"/>
                <w:sz w:val="20"/>
                <w:szCs w:val="20"/>
                <w:lang w:val="es-CO"/>
              </w:rPr>
            </w:pPr>
          </w:p>
        </w:tc>
        <w:tc>
          <w:tcPr>
            <w:tcW w:w="3240" w:type="dxa"/>
            <w:tcMar/>
            <w:vAlign w:val="center"/>
          </w:tcPr>
          <w:p w:rsidR="00527B8C" w:rsidP="002352AE" w:rsidRDefault="00212A57" w14:paraId="3E79EE06" w14:textId="77777777">
            <w:pPr>
              <w:spacing w:after="0" w:line="240" w:lineRule="auto"/>
              <w:jc w:val="both"/>
              <w:rPr>
                <w:rFonts w:cs="Calibri"/>
                <w:sz w:val="20"/>
                <w:szCs w:val="20"/>
                <w:lang w:val="es-CO"/>
              </w:rPr>
            </w:pPr>
            <w:r>
              <w:rPr>
                <w:rFonts w:cs="Calibri"/>
                <w:sz w:val="20"/>
                <w:szCs w:val="20"/>
                <w:lang w:val="es-CO"/>
              </w:rPr>
              <w:t>Define los contenidos mínimos del PMA que deben presentar los titulares de proyectos mineros, entre ellos los de extracción de materiales de arrastre (arena, grava, etc.), cuando superan los umbrales que obligan a tramitar licencia ambiental.</w:t>
            </w:r>
          </w:p>
          <w:p w:rsidR="00527B8C" w:rsidP="002352AE" w:rsidRDefault="00212A57" w14:paraId="66AD25C2" w14:textId="77777777">
            <w:pPr>
              <w:spacing w:after="0" w:line="240" w:lineRule="auto"/>
              <w:jc w:val="both"/>
              <w:rPr>
                <w:rFonts w:cs="Calibri"/>
                <w:sz w:val="20"/>
                <w:szCs w:val="20"/>
                <w:lang w:val="es-CO"/>
              </w:rPr>
            </w:pPr>
            <w:r>
              <w:rPr>
                <w:rFonts w:cs="Calibri"/>
                <w:sz w:val="20"/>
                <w:szCs w:val="20"/>
                <w:lang w:val="es-CO"/>
              </w:rPr>
              <w:t xml:space="preserve">Incluye lineamientos sobre: </w:t>
            </w:r>
          </w:p>
          <w:p w:rsidR="00527B8C" w:rsidP="002352AE" w:rsidRDefault="00212A57" w14:paraId="1B8E6B8E" w14:textId="77777777">
            <w:pPr>
              <w:spacing w:after="0" w:line="240" w:lineRule="auto"/>
              <w:jc w:val="both"/>
              <w:rPr>
                <w:rFonts w:cs="Calibri"/>
                <w:sz w:val="20"/>
                <w:szCs w:val="20"/>
                <w:lang w:val="es-CO"/>
              </w:rPr>
            </w:pPr>
            <w:r>
              <w:rPr>
                <w:rFonts w:cs="Calibri"/>
                <w:sz w:val="20"/>
                <w:szCs w:val="20"/>
                <w:lang w:val="es-CO"/>
              </w:rPr>
              <w:t>Medidas de prevención, mitigación, corrección y compensación de impactos ambientales.</w:t>
            </w:r>
          </w:p>
          <w:p w:rsidR="00527B8C" w:rsidP="002352AE" w:rsidRDefault="00212A57" w14:paraId="41C0E587" w14:textId="77777777">
            <w:pPr>
              <w:spacing w:after="0" w:line="240" w:lineRule="auto"/>
              <w:jc w:val="both"/>
              <w:rPr>
                <w:rFonts w:cs="Calibri"/>
                <w:sz w:val="20"/>
                <w:szCs w:val="20"/>
                <w:lang w:val="es-CO"/>
              </w:rPr>
            </w:pPr>
            <w:r>
              <w:rPr>
                <w:rFonts w:cs="Calibri"/>
                <w:sz w:val="20"/>
                <w:szCs w:val="20"/>
                <w:lang w:val="es-CO"/>
              </w:rPr>
              <w:t>Programas de seguimiento y monitoreo para recursos hídricos, suelo, biodiversidad y áreas intervenidas.</w:t>
            </w:r>
          </w:p>
          <w:p w:rsidR="00527B8C" w:rsidP="002352AE" w:rsidRDefault="00212A57" w14:paraId="203235B3" w14:textId="77777777">
            <w:pPr>
              <w:spacing w:after="0" w:line="240" w:lineRule="auto"/>
              <w:jc w:val="both"/>
              <w:rPr>
                <w:rFonts w:cs="Calibri"/>
                <w:sz w:val="20"/>
                <w:szCs w:val="20"/>
                <w:lang w:val="es-CO"/>
              </w:rPr>
            </w:pPr>
            <w:r>
              <w:rPr>
                <w:rFonts w:cs="Calibri"/>
                <w:sz w:val="20"/>
                <w:szCs w:val="20"/>
                <w:lang w:val="es-CO"/>
              </w:rPr>
              <w:t>Planes de rehabilitación y cierre para garantizar la recuperación del ecosistema afectado.</w:t>
            </w:r>
          </w:p>
          <w:p w:rsidR="00527B8C" w:rsidP="002352AE" w:rsidRDefault="00212A57" w14:paraId="4142DCB5" w14:textId="77777777">
            <w:pPr>
              <w:spacing w:after="0" w:line="240" w:lineRule="auto"/>
              <w:jc w:val="both"/>
              <w:rPr>
                <w:rFonts w:cs="Calibri"/>
                <w:sz w:val="20"/>
                <w:szCs w:val="20"/>
                <w:lang w:val="es-CO"/>
              </w:rPr>
            </w:pPr>
            <w:r>
              <w:rPr>
                <w:rFonts w:cs="Calibri"/>
                <w:sz w:val="20"/>
                <w:szCs w:val="20"/>
                <w:lang w:val="es-CO"/>
              </w:rPr>
              <w:t>Busca asegurar que la explotación de materiales de arrastre se realice bajo criterios de sostenibilidad y control ambiental.</w:t>
            </w:r>
          </w:p>
        </w:tc>
      </w:tr>
      <w:tr w:rsidR="00527B8C" w:rsidTr="544B9055" w14:paraId="626B6B69" w14:textId="77777777">
        <w:trPr>
          <w:trHeight w:val="300"/>
        </w:trPr>
        <w:tc>
          <w:tcPr>
            <w:tcW w:w="2220" w:type="dxa"/>
            <w:shd w:val="clear" w:color="auto" w:fill="F2F2F2" w:themeFill="background1" w:themeFillShade="F2"/>
            <w:tcMar/>
            <w:vAlign w:val="center"/>
          </w:tcPr>
          <w:p w:rsidR="00527B8C" w:rsidP="002352AE" w:rsidRDefault="00212A57" w14:paraId="26A37D38" w14:textId="77777777">
            <w:pPr>
              <w:spacing w:after="0" w:line="240" w:lineRule="auto"/>
              <w:jc w:val="both"/>
              <w:rPr>
                <w:rFonts w:cs="Calibri"/>
                <w:b/>
                <w:bCs/>
                <w:sz w:val="20"/>
                <w:szCs w:val="20"/>
                <w:lang w:val="es-CO"/>
              </w:rPr>
            </w:pPr>
            <w:r>
              <w:rPr>
                <w:rFonts w:cs="Calibri"/>
                <w:b/>
                <w:bCs/>
                <w:color w:val="000000" w:themeColor="text1"/>
                <w:sz w:val="20"/>
                <w:szCs w:val="20"/>
                <w:lang w:val="es-CO"/>
              </w:rPr>
              <w:t>Resolución 0886 de 2018</w:t>
            </w:r>
          </w:p>
          <w:p w:rsidR="00527B8C" w:rsidP="002352AE" w:rsidRDefault="00527B8C" w14:paraId="69079280" w14:textId="77777777">
            <w:pPr>
              <w:spacing w:after="0" w:line="240" w:lineRule="auto"/>
              <w:jc w:val="both"/>
              <w:rPr>
                <w:rFonts w:cs="Calibri"/>
                <w:b/>
                <w:bCs/>
                <w:color w:val="000000" w:themeColor="text1"/>
                <w:sz w:val="20"/>
                <w:szCs w:val="20"/>
                <w:lang w:val="es-CO"/>
              </w:rPr>
            </w:pPr>
          </w:p>
        </w:tc>
        <w:tc>
          <w:tcPr>
            <w:tcW w:w="3310" w:type="dxa"/>
            <w:shd w:val="clear" w:color="auto" w:fill="F2F2F2" w:themeFill="background1" w:themeFillShade="F2"/>
            <w:tcMar/>
            <w:vAlign w:val="center"/>
          </w:tcPr>
          <w:p w:rsidR="00527B8C" w:rsidP="002352AE" w:rsidRDefault="00212A57" w14:paraId="628C2B70" w14:textId="77777777">
            <w:pPr>
              <w:spacing w:after="0" w:line="240" w:lineRule="auto"/>
              <w:jc w:val="both"/>
              <w:rPr>
                <w:rFonts w:cs="Calibri"/>
                <w:sz w:val="20"/>
                <w:szCs w:val="20"/>
                <w:lang w:val="es-CO"/>
              </w:rPr>
            </w:pPr>
            <w:r>
              <w:rPr>
                <w:rFonts w:cs="Calibri"/>
                <w:sz w:val="20"/>
                <w:szCs w:val="20"/>
                <w:lang w:val="es-CO"/>
              </w:rPr>
              <w:t>Establece los términos de referencia para la elaboración del Plan de Manejo Ambiental (PMA) para proyectos de explotación minera en cauces de ríos, lo que incluye la extracción de materiales de arrastre (arena, grava, etc.).</w:t>
            </w:r>
          </w:p>
          <w:p w:rsidR="00527B8C" w:rsidP="002352AE" w:rsidRDefault="00527B8C" w14:paraId="366B59F4" w14:textId="77777777">
            <w:pPr>
              <w:spacing w:after="0" w:line="240" w:lineRule="auto"/>
              <w:jc w:val="both"/>
              <w:rPr>
                <w:rFonts w:cs="Calibri"/>
                <w:color w:val="000000" w:themeColor="text1"/>
                <w:sz w:val="20"/>
                <w:szCs w:val="20"/>
                <w:lang w:val="es-CO"/>
              </w:rPr>
            </w:pPr>
          </w:p>
        </w:tc>
        <w:tc>
          <w:tcPr>
            <w:tcW w:w="3240" w:type="dxa"/>
            <w:shd w:val="clear" w:color="auto" w:fill="F2F2F2" w:themeFill="background1" w:themeFillShade="F2"/>
            <w:tcMar/>
            <w:vAlign w:val="center"/>
          </w:tcPr>
          <w:p w:rsidR="00527B8C" w:rsidP="002352AE" w:rsidRDefault="00212A57" w14:paraId="4F66BF8E" w14:textId="77777777">
            <w:pPr>
              <w:spacing w:after="0" w:line="240" w:lineRule="auto"/>
              <w:jc w:val="both"/>
              <w:rPr>
                <w:rFonts w:cs="Calibri"/>
                <w:sz w:val="20"/>
                <w:szCs w:val="20"/>
                <w:lang w:val="es-CO"/>
              </w:rPr>
            </w:pPr>
            <w:r>
              <w:rPr>
                <w:rFonts w:cs="Calibri"/>
                <w:sz w:val="20"/>
                <w:szCs w:val="20"/>
                <w:lang w:val="es-CO"/>
              </w:rPr>
              <w:t>Regula cómo debe estructurarse el PMA para proyectos que intervienen cauces, garantizando la protección de recursos hídricos y ecosistemas asociados.</w:t>
            </w:r>
          </w:p>
          <w:p w:rsidR="00527B8C" w:rsidP="002352AE" w:rsidRDefault="00212A57" w14:paraId="33CF833A" w14:textId="77777777">
            <w:pPr>
              <w:spacing w:after="0" w:line="240" w:lineRule="auto"/>
              <w:jc w:val="both"/>
              <w:rPr>
                <w:rFonts w:cs="Calibri"/>
                <w:sz w:val="20"/>
                <w:szCs w:val="20"/>
                <w:lang w:val="es-CO"/>
              </w:rPr>
            </w:pPr>
            <w:r>
              <w:rPr>
                <w:rFonts w:cs="Calibri"/>
                <w:sz w:val="20"/>
                <w:szCs w:val="20"/>
                <w:lang w:val="es-CO"/>
              </w:rPr>
              <w:t xml:space="preserve">Incluye lineamientos sobre: </w:t>
            </w:r>
          </w:p>
          <w:p w:rsidR="00527B8C" w:rsidP="002352AE" w:rsidRDefault="00212A57" w14:paraId="3AEA1D57" w14:textId="77777777">
            <w:pPr>
              <w:spacing w:after="0" w:line="240" w:lineRule="auto"/>
              <w:jc w:val="both"/>
              <w:rPr>
                <w:rFonts w:cs="Calibri"/>
                <w:sz w:val="20"/>
                <w:szCs w:val="20"/>
                <w:lang w:val="es-CO"/>
              </w:rPr>
            </w:pPr>
            <w:r>
              <w:rPr>
                <w:rFonts w:cs="Calibri"/>
                <w:sz w:val="20"/>
                <w:szCs w:val="20"/>
                <w:lang w:val="es-CO"/>
              </w:rPr>
              <w:t>Medidas de prevención y mitigación de impactos en el cauce y la calidad del agua.</w:t>
            </w:r>
          </w:p>
          <w:p w:rsidR="00527B8C" w:rsidP="002352AE" w:rsidRDefault="00212A57" w14:paraId="42746135" w14:textId="77777777">
            <w:pPr>
              <w:spacing w:after="0" w:line="240" w:lineRule="auto"/>
              <w:jc w:val="both"/>
              <w:rPr>
                <w:rFonts w:cs="Calibri"/>
                <w:sz w:val="20"/>
                <w:szCs w:val="20"/>
                <w:lang w:val="es-CO"/>
              </w:rPr>
            </w:pPr>
            <w:r>
              <w:rPr>
                <w:rFonts w:cs="Calibri"/>
                <w:sz w:val="20"/>
                <w:szCs w:val="20"/>
                <w:lang w:val="es-CO"/>
              </w:rPr>
              <w:t>Programas de restauración y compensación para áreas afectadas.</w:t>
            </w:r>
          </w:p>
          <w:p w:rsidR="00527B8C" w:rsidP="002352AE" w:rsidRDefault="00212A57" w14:paraId="05C1F67D" w14:textId="77777777">
            <w:pPr>
              <w:spacing w:after="0" w:line="240" w:lineRule="auto"/>
              <w:jc w:val="both"/>
              <w:rPr>
                <w:rFonts w:cs="Calibri"/>
                <w:sz w:val="20"/>
                <w:szCs w:val="20"/>
                <w:lang w:val="es-CO"/>
              </w:rPr>
            </w:pPr>
            <w:r>
              <w:rPr>
                <w:rFonts w:cs="Calibri"/>
                <w:sz w:val="20"/>
                <w:szCs w:val="20"/>
                <w:lang w:val="es-CO"/>
              </w:rPr>
              <w:t>Monitoreo y seguimiento ambiental durante y después de la explotación.</w:t>
            </w:r>
          </w:p>
          <w:p w:rsidR="00527B8C" w:rsidP="002352AE" w:rsidRDefault="00212A57" w14:paraId="7D19D0C7" w14:textId="77777777">
            <w:pPr>
              <w:spacing w:after="0" w:line="240" w:lineRule="auto"/>
              <w:jc w:val="both"/>
              <w:rPr>
                <w:rFonts w:cs="Calibri"/>
                <w:sz w:val="20"/>
                <w:szCs w:val="20"/>
                <w:lang w:val="es-CO"/>
              </w:rPr>
            </w:pPr>
            <w:r>
              <w:rPr>
                <w:rFonts w:cs="Calibri"/>
                <w:sz w:val="20"/>
                <w:szCs w:val="20"/>
                <w:lang w:val="es-CO"/>
              </w:rPr>
              <w:t>Busca asegurar que la extracción de materiales de arrastre se realice bajo criterios de sostenibilidad y control ambiental, evitando afectaciones graves a los cuerpos de agua.</w:t>
            </w:r>
          </w:p>
        </w:tc>
      </w:tr>
      <w:tr w:rsidR="00527B8C" w:rsidTr="544B9055" w14:paraId="3D38312F" w14:textId="77777777">
        <w:trPr>
          <w:trHeight w:val="300"/>
        </w:trPr>
        <w:tc>
          <w:tcPr>
            <w:tcW w:w="2220" w:type="dxa"/>
            <w:tcMar/>
            <w:vAlign w:val="center"/>
          </w:tcPr>
          <w:p w:rsidR="00527B8C" w:rsidP="002352AE" w:rsidRDefault="00212A57" w14:paraId="4E048491" w14:textId="77777777">
            <w:pPr>
              <w:spacing w:after="0" w:line="240" w:lineRule="auto"/>
              <w:jc w:val="both"/>
              <w:rPr>
                <w:rFonts w:cs="Calibri"/>
                <w:b/>
                <w:bCs/>
                <w:sz w:val="20"/>
                <w:szCs w:val="20"/>
                <w:lang w:val="es-CO"/>
              </w:rPr>
            </w:pPr>
            <w:r>
              <w:rPr>
                <w:rFonts w:cs="Calibri"/>
                <w:b/>
                <w:bCs/>
                <w:color w:val="000000" w:themeColor="text1"/>
                <w:sz w:val="20"/>
                <w:szCs w:val="20"/>
                <w:lang w:val="es-CO"/>
              </w:rPr>
              <w:t>Resolución 0957 de 2018</w:t>
            </w:r>
          </w:p>
          <w:p w:rsidR="00527B8C" w:rsidP="002352AE" w:rsidRDefault="00527B8C" w14:paraId="1E5E9E52" w14:textId="77777777">
            <w:pPr>
              <w:spacing w:after="0" w:line="240" w:lineRule="auto"/>
              <w:jc w:val="both"/>
              <w:rPr>
                <w:rFonts w:cs="Calibri"/>
                <w:b/>
                <w:bCs/>
                <w:color w:val="000000" w:themeColor="text1"/>
                <w:sz w:val="20"/>
                <w:szCs w:val="20"/>
                <w:lang w:val="es-CO"/>
              </w:rPr>
            </w:pPr>
          </w:p>
        </w:tc>
        <w:tc>
          <w:tcPr>
            <w:tcW w:w="3310" w:type="dxa"/>
            <w:tcMar/>
            <w:vAlign w:val="center"/>
          </w:tcPr>
          <w:p w:rsidR="00527B8C" w:rsidP="002352AE" w:rsidRDefault="00212A57" w14:paraId="2EEC7BFE" w14:textId="77777777">
            <w:pPr>
              <w:spacing w:after="0" w:line="240" w:lineRule="auto"/>
              <w:jc w:val="both"/>
              <w:rPr>
                <w:rFonts w:cs="Calibri"/>
                <w:sz w:val="20"/>
                <w:szCs w:val="20"/>
                <w:lang w:val="es-CO"/>
              </w:rPr>
            </w:pPr>
            <w:r>
              <w:rPr>
                <w:rFonts w:cs="Calibri"/>
                <w:sz w:val="20"/>
                <w:szCs w:val="20"/>
                <w:lang w:val="es-CO"/>
              </w:rPr>
              <w:t>Expedida por el Ministerio de Ambiente y Desarrollo Sostenible, establece los términos de referencia para la elaboración de estudios ambientales (Diagnóstico Ambiental de Alternativas y Estudio de Impacto Ambiental) aplicables a proyectos que requieren Licencia Ambiental.</w:t>
            </w:r>
          </w:p>
        </w:tc>
        <w:tc>
          <w:tcPr>
            <w:tcW w:w="3240" w:type="dxa"/>
            <w:tcMar/>
            <w:vAlign w:val="center"/>
          </w:tcPr>
          <w:p w:rsidR="00527B8C" w:rsidP="002352AE" w:rsidRDefault="00212A57" w14:paraId="415D8EB3" w14:textId="77777777">
            <w:pPr>
              <w:spacing w:after="0" w:line="240" w:lineRule="auto"/>
              <w:jc w:val="both"/>
              <w:rPr>
                <w:rFonts w:cs="Calibri"/>
                <w:sz w:val="20"/>
                <w:szCs w:val="20"/>
                <w:lang w:val="es-CO"/>
              </w:rPr>
            </w:pPr>
            <w:r>
              <w:rPr>
                <w:rFonts w:cs="Calibri"/>
                <w:sz w:val="20"/>
                <w:szCs w:val="20"/>
                <w:lang w:val="es-CO"/>
              </w:rPr>
              <w:t>Define los requisitos técnicos y ambientales que deben cumplir los estudios para proyectos mineros, incluyendo la extracción de materiales de arrastre (arena, grava, etc.), cuando estos superan los umbrales establecidos en el Decreto 1076 de 2015.</w:t>
            </w:r>
          </w:p>
        </w:tc>
      </w:tr>
      <w:tr w:rsidR="00527B8C" w:rsidTr="544B9055" w14:paraId="4B5EDED1" w14:textId="77777777">
        <w:trPr>
          <w:trHeight w:val="300"/>
        </w:trPr>
        <w:tc>
          <w:tcPr>
            <w:tcW w:w="2220" w:type="dxa"/>
            <w:shd w:val="clear" w:color="auto" w:fill="F2F2F2" w:themeFill="background1" w:themeFillShade="F2"/>
            <w:tcMar/>
            <w:vAlign w:val="center"/>
          </w:tcPr>
          <w:p w:rsidR="00527B8C" w:rsidP="002352AE" w:rsidRDefault="00212A57" w14:paraId="2FC3AED8" w14:textId="77777777">
            <w:pPr>
              <w:spacing w:after="0" w:line="240" w:lineRule="auto"/>
              <w:jc w:val="both"/>
              <w:rPr>
                <w:rFonts w:cs="Calibri"/>
                <w:b/>
                <w:bCs/>
                <w:sz w:val="20"/>
                <w:szCs w:val="20"/>
                <w:lang w:val="es-CO"/>
              </w:rPr>
            </w:pPr>
            <w:r>
              <w:rPr>
                <w:rFonts w:cs="Calibri"/>
                <w:b/>
                <w:bCs/>
                <w:color w:val="000000" w:themeColor="text1"/>
                <w:sz w:val="20"/>
                <w:szCs w:val="20"/>
                <w:lang w:val="es-CO"/>
              </w:rPr>
              <w:t>Resolución 623 de 2020 de la ANM</w:t>
            </w:r>
          </w:p>
        </w:tc>
        <w:tc>
          <w:tcPr>
            <w:tcW w:w="3310" w:type="dxa"/>
            <w:shd w:val="clear" w:color="auto" w:fill="F2F2F2" w:themeFill="background1" w:themeFillShade="F2"/>
            <w:tcMar/>
            <w:vAlign w:val="center"/>
          </w:tcPr>
          <w:p w:rsidR="00527B8C" w:rsidP="002352AE" w:rsidRDefault="00212A57" w14:paraId="011754FC" w14:textId="77777777">
            <w:pPr>
              <w:spacing w:after="0" w:line="240" w:lineRule="auto"/>
              <w:jc w:val="both"/>
              <w:rPr>
                <w:rFonts w:cs="Calibri"/>
                <w:sz w:val="20"/>
                <w:szCs w:val="20"/>
                <w:lang w:val="es-CO"/>
              </w:rPr>
            </w:pPr>
            <w:r>
              <w:rPr>
                <w:rFonts w:cs="Calibri"/>
                <w:sz w:val="20"/>
                <w:szCs w:val="20"/>
                <w:lang w:val="es-CO"/>
              </w:rPr>
              <w:t>La resolución implementa el módulo GÉNESIS dentro del Registro Único de Comercializadores de Minerales (RUCOM), con el fin de registrar y formalizar a los mineros de subsistencia, categoría que incluye a quienes extraen arenas, gravas y otros materiales de arrastre de cauces y riberas</w:t>
            </w:r>
          </w:p>
          <w:p w:rsidR="00527B8C" w:rsidP="002352AE" w:rsidRDefault="00527B8C" w14:paraId="77240A15" w14:textId="77777777">
            <w:pPr>
              <w:spacing w:after="0" w:line="240" w:lineRule="auto"/>
              <w:jc w:val="both"/>
              <w:rPr>
                <w:rFonts w:cs="Calibri"/>
                <w:color w:val="000000" w:themeColor="text1"/>
                <w:sz w:val="20"/>
                <w:szCs w:val="20"/>
                <w:lang w:val="es-CO"/>
              </w:rPr>
            </w:pPr>
          </w:p>
        </w:tc>
        <w:tc>
          <w:tcPr>
            <w:tcW w:w="3240" w:type="dxa"/>
            <w:shd w:val="clear" w:color="auto" w:fill="F2F2F2" w:themeFill="background1" w:themeFillShade="F2"/>
            <w:tcMar/>
            <w:vAlign w:val="center"/>
          </w:tcPr>
          <w:p w:rsidR="00527B8C" w:rsidP="002352AE" w:rsidRDefault="00212A57" w14:paraId="3CA3ACDC" w14:textId="77777777">
            <w:pPr>
              <w:spacing w:after="0" w:line="240" w:lineRule="auto"/>
              <w:jc w:val="both"/>
              <w:rPr>
                <w:rFonts w:cs="Calibri"/>
                <w:sz w:val="20"/>
                <w:szCs w:val="20"/>
                <w:lang w:val="es-CO"/>
              </w:rPr>
            </w:pPr>
            <w:r>
              <w:rPr>
                <w:rFonts w:cs="Calibri"/>
                <w:sz w:val="20"/>
                <w:szCs w:val="20"/>
                <w:lang w:val="es-CO"/>
              </w:rPr>
              <w:t>Formalización: exige que la extracción artesanal de agregados aluviales esté debidamente inscrita en el RUCOM.</w:t>
            </w:r>
          </w:p>
          <w:p w:rsidR="00527B8C" w:rsidP="002352AE" w:rsidRDefault="00212A57" w14:paraId="6E2B4238" w14:textId="77777777">
            <w:pPr>
              <w:spacing w:after="0" w:line="240" w:lineRule="auto"/>
              <w:jc w:val="both"/>
              <w:rPr>
                <w:rFonts w:cs="Calibri"/>
                <w:sz w:val="20"/>
                <w:szCs w:val="20"/>
                <w:lang w:val="es-CO"/>
              </w:rPr>
            </w:pPr>
            <w:r>
              <w:rPr>
                <w:rFonts w:cs="Calibri"/>
                <w:sz w:val="20"/>
                <w:szCs w:val="20"/>
                <w:lang w:val="es-CO"/>
              </w:rPr>
              <w:t>Legalidad y control: con el módulo GÉNESIS, se regula quién puede extraer, cómo hacerlo y dónde.</w:t>
            </w:r>
          </w:p>
          <w:p w:rsidR="00527B8C" w:rsidP="002352AE" w:rsidRDefault="00212A57" w14:paraId="0C98576E" w14:textId="77777777">
            <w:pPr>
              <w:spacing w:after="0" w:line="240" w:lineRule="auto"/>
              <w:jc w:val="both"/>
              <w:rPr>
                <w:rFonts w:cs="Calibri"/>
                <w:sz w:val="20"/>
                <w:szCs w:val="20"/>
                <w:lang w:val="es-CO"/>
              </w:rPr>
            </w:pPr>
            <w:r>
              <w:rPr>
                <w:rFonts w:cs="Calibri"/>
                <w:sz w:val="20"/>
                <w:szCs w:val="20"/>
                <w:lang w:val="es-CO"/>
              </w:rPr>
              <w:t>Vinculación con buenas prácticas: establece un marco administrativo que facilita la adopción de guías técnicas (como la Guía de buenas prácticas para materiales de arrastre en exploración y reservas).</w:t>
            </w:r>
          </w:p>
        </w:tc>
      </w:tr>
      <w:tr w:rsidR="00527B8C" w:rsidTr="544B9055" w14:paraId="3ECED711" w14:textId="77777777">
        <w:trPr>
          <w:trHeight w:val="4185"/>
        </w:trPr>
        <w:tc>
          <w:tcPr>
            <w:tcW w:w="2220" w:type="dxa"/>
            <w:tcMar/>
            <w:vAlign w:val="center"/>
          </w:tcPr>
          <w:p w:rsidR="00527B8C" w:rsidP="002352AE" w:rsidRDefault="00212A57" w14:paraId="1196D930" w14:textId="77777777">
            <w:pPr>
              <w:spacing w:after="0" w:line="240" w:lineRule="auto"/>
              <w:jc w:val="both"/>
              <w:rPr>
                <w:rFonts w:cs="Calibri"/>
                <w:b/>
                <w:bCs/>
                <w:sz w:val="20"/>
                <w:szCs w:val="20"/>
                <w:lang w:val="es-CO"/>
              </w:rPr>
            </w:pPr>
            <w:r>
              <w:rPr>
                <w:rFonts w:cs="Calibri"/>
                <w:b/>
                <w:bCs/>
                <w:color w:val="000000" w:themeColor="text1"/>
                <w:sz w:val="20"/>
                <w:szCs w:val="20"/>
                <w:lang w:val="es-CO"/>
              </w:rPr>
              <w:t>Ley 2294 de 2023</w:t>
            </w:r>
          </w:p>
        </w:tc>
        <w:tc>
          <w:tcPr>
            <w:tcW w:w="3310" w:type="dxa"/>
            <w:tcMar/>
            <w:vAlign w:val="center"/>
          </w:tcPr>
          <w:p w:rsidR="00527B8C" w:rsidP="002352AE" w:rsidRDefault="00212A57" w14:paraId="6316B112" w14:textId="77777777">
            <w:pPr>
              <w:spacing w:after="0" w:line="240" w:lineRule="auto"/>
              <w:jc w:val="both"/>
              <w:rPr>
                <w:rFonts w:cs="Calibri"/>
                <w:sz w:val="20"/>
                <w:szCs w:val="20"/>
                <w:lang w:val="es-CO"/>
              </w:rPr>
            </w:pPr>
            <w:r>
              <w:rPr>
                <w:rFonts w:cs="Calibri"/>
                <w:color w:val="000000" w:themeColor="text1"/>
                <w:sz w:val="20"/>
                <w:szCs w:val="20"/>
                <w:lang w:val="es-CO"/>
              </w:rPr>
              <w:t xml:space="preserve">Por el cual se expide el Plan Nacional de Desarrollo 2022-2026 “Colombia Potencia Mundial de la Vida”. </w:t>
            </w:r>
            <w:r>
              <w:rPr>
                <w:rFonts w:cs="Calibri"/>
                <w:sz w:val="20"/>
                <w:szCs w:val="20"/>
                <w:lang w:val="es-CO"/>
              </w:rPr>
              <w:t>El artículo 229 establece que el Ministerio de Minas y Energía, en conjunto con el Servicio Geológico Colombiano, definirá un plan nacional de conocimiento geo científico.</w:t>
            </w:r>
          </w:p>
          <w:p w:rsidR="00527B8C" w:rsidP="002352AE" w:rsidRDefault="00212A57" w14:paraId="7893E6F0" w14:textId="77777777">
            <w:pPr>
              <w:spacing w:after="0" w:line="240" w:lineRule="auto"/>
              <w:jc w:val="both"/>
              <w:rPr>
                <w:rFonts w:cs="Calibri"/>
                <w:color w:val="464FEB"/>
                <w:sz w:val="20"/>
                <w:szCs w:val="20"/>
                <w:lang w:val="es-CO"/>
              </w:rPr>
            </w:pPr>
            <w:r>
              <w:rPr>
                <w:rFonts w:cs="Calibri"/>
                <w:sz w:val="20"/>
                <w:szCs w:val="20"/>
                <w:lang w:val="es-CO"/>
              </w:rPr>
              <w:t xml:space="preserve">En este marco, se podrán delimitar y otorgar áreas de reserva estratégica minera a pequeños y medianos mineros organizados. </w:t>
            </w:r>
          </w:p>
          <w:p w:rsidR="00527B8C" w:rsidP="002352AE" w:rsidRDefault="00212A57" w14:paraId="5D0F7880" w14:textId="77777777">
            <w:pPr>
              <w:spacing w:after="0" w:line="240" w:lineRule="auto"/>
              <w:jc w:val="both"/>
              <w:rPr>
                <w:rFonts w:cs="Calibri"/>
                <w:sz w:val="20"/>
                <w:szCs w:val="20"/>
                <w:lang w:val="es-CO"/>
              </w:rPr>
            </w:pPr>
            <w:r>
              <w:rPr>
                <w:rFonts w:cs="Calibri"/>
                <w:sz w:val="20"/>
                <w:szCs w:val="20"/>
                <w:lang w:val="es-CO"/>
              </w:rPr>
              <w:t>Estas áreas podrían incluir y beneficiar explotaciones de material de arrastre, facilitando la planificación y formalización de dichos proyectos.</w:t>
            </w:r>
          </w:p>
        </w:tc>
        <w:tc>
          <w:tcPr>
            <w:tcW w:w="3240" w:type="dxa"/>
            <w:tcMar/>
            <w:vAlign w:val="center"/>
          </w:tcPr>
          <w:p w:rsidR="00527B8C" w:rsidP="002352AE" w:rsidRDefault="00212A57" w14:paraId="358EB552" w14:textId="77777777">
            <w:pPr>
              <w:spacing w:after="0" w:line="240" w:lineRule="auto"/>
              <w:jc w:val="both"/>
              <w:rPr>
                <w:rFonts w:cs="Calibri"/>
                <w:sz w:val="20"/>
                <w:szCs w:val="20"/>
                <w:lang w:val="es-CO"/>
              </w:rPr>
            </w:pPr>
            <w:r>
              <w:rPr>
                <w:rFonts w:cs="Calibri"/>
                <w:sz w:val="20"/>
                <w:szCs w:val="20"/>
                <w:lang w:val="es-CO"/>
              </w:rPr>
              <w:t>El artículo 231 crea los Distritos Mineros Especiales. Estos Distritos permiten que la explotación de material de arrastre, dentro de la minería de pequeña escala, se realice de forma planificada, con apoyo institucional, asociatividad y criterios ambientales integrados.</w:t>
            </w:r>
          </w:p>
        </w:tc>
      </w:tr>
      <w:tr w:rsidR="00527B8C" w:rsidTr="544B9055" w14:paraId="7E734D70" w14:textId="77777777">
        <w:trPr>
          <w:trHeight w:val="300"/>
        </w:trPr>
        <w:tc>
          <w:tcPr>
            <w:tcW w:w="2220" w:type="dxa"/>
            <w:shd w:val="clear" w:color="auto" w:fill="F2F2F2" w:themeFill="background1" w:themeFillShade="F2"/>
            <w:tcMar/>
            <w:vAlign w:val="center"/>
          </w:tcPr>
          <w:p w:rsidR="00527B8C" w:rsidP="002352AE" w:rsidRDefault="00212A57" w14:paraId="201D7D92" w14:textId="77777777">
            <w:pPr>
              <w:spacing w:after="0" w:line="240" w:lineRule="auto"/>
              <w:jc w:val="both"/>
              <w:rPr>
                <w:rFonts w:cs="Calibri"/>
                <w:b/>
                <w:bCs/>
                <w:sz w:val="20"/>
                <w:szCs w:val="20"/>
                <w:lang w:val="es-CO"/>
              </w:rPr>
            </w:pPr>
            <w:r>
              <w:rPr>
                <w:rFonts w:cs="Calibri"/>
                <w:b/>
                <w:bCs/>
                <w:color w:val="000000" w:themeColor="text1"/>
                <w:sz w:val="20"/>
                <w:szCs w:val="20"/>
                <w:lang w:val="es-CO"/>
              </w:rPr>
              <w:t>Resolución 1006 de 2023</w:t>
            </w:r>
          </w:p>
          <w:p w:rsidR="00527B8C" w:rsidP="002352AE" w:rsidRDefault="00527B8C" w14:paraId="26670E13" w14:textId="77777777">
            <w:pPr>
              <w:spacing w:after="0" w:line="240" w:lineRule="auto"/>
              <w:jc w:val="both"/>
              <w:rPr>
                <w:rFonts w:cs="Calibri"/>
                <w:b/>
                <w:bCs/>
                <w:color w:val="000000" w:themeColor="text1"/>
                <w:sz w:val="20"/>
                <w:szCs w:val="20"/>
                <w:lang w:val="es-CO"/>
              </w:rPr>
            </w:pPr>
          </w:p>
        </w:tc>
        <w:tc>
          <w:tcPr>
            <w:tcW w:w="3310" w:type="dxa"/>
            <w:shd w:val="clear" w:color="auto" w:fill="F2F2F2" w:themeFill="background1" w:themeFillShade="F2"/>
            <w:tcMar/>
            <w:vAlign w:val="center"/>
          </w:tcPr>
          <w:p w:rsidR="00527B8C" w:rsidP="002352AE" w:rsidRDefault="00212A57" w14:paraId="5A93C60B" w14:textId="77777777">
            <w:pPr>
              <w:spacing w:after="0" w:line="240" w:lineRule="auto"/>
              <w:jc w:val="both"/>
              <w:rPr>
                <w:rFonts w:cs="Calibri"/>
                <w:sz w:val="20"/>
                <w:szCs w:val="20"/>
                <w:lang w:val="es-CO"/>
              </w:rPr>
            </w:pPr>
            <w:r>
              <w:rPr>
                <w:rFonts w:cs="Calibri"/>
                <w:sz w:val="20"/>
                <w:szCs w:val="20"/>
                <w:lang w:val="es-CO"/>
              </w:rPr>
              <w:t>Introduce criterios de sostenibilidad y control para la explotación de materiales de arrastre, exigiendo trazabilidad, delimitación de áreas y cumplimiento estricto de obligaciones ambientales y sociales.</w:t>
            </w:r>
          </w:p>
          <w:p w:rsidR="00527B8C" w:rsidP="002352AE" w:rsidRDefault="00527B8C" w14:paraId="72217759" w14:textId="77777777">
            <w:pPr>
              <w:spacing w:after="0" w:line="240" w:lineRule="auto"/>
              <w:jc w:val="both"/>
              <w:rPr>
                <w:rFonts w:cs="Calibri"/>
                <w:color w:val="000000" w:themeColor="text1"/>
                <w:sz w:val="20"/>
                <w:szCs w:val="20"/>
                <w:lang w:val="es-CO"/>
              </w:rPr>
            </w:pPr>
          </w:p>
          <w:p w:rsidR="00527B8C" w:rsidP="002352AE" w:rsidRDefault="00527B8C" w14:paraId="08EC8BFE" w14:textId="77777777">
            <w:pPr>
              <w:spacing w:after="0" w:line="240" w:lineRule="auto"/>
              <w:jc w:val="both"/>
              <w:rPr>
                <w:rFonts w:cs="Calibri"/>
                <w:color w:val="000000" w:themeColor="text1"/>
                <w:sz w:val="20"/>
                <w:szCs w:val="20"/>
                <w:lang w:val="es-CO"/>
              </w:rPr>
            </w:pPr>
          </w:p>
        </w:tc>
        <w:tc>
          <w:tcPr>
            <w:tcW w:w="3240" w:type="dxa"/>
            <w:shd w:val="clear" w:color="auto" w:fill="F2F2F2" w:themeFill="background1" w:themeFillShade="F2"/>
            <w:tcMar/>
            <w:vAlign w:val="center"/>
          </w:tcPr>
          <w:p w:rsidR="00527B8C" w:rsidP="002352AE" w:rsidRDefault="00212A57" w14:paraId="75C35015" w14:textId="77777777">
            <w:pPr>
              <w:spacing w:after="0" w:line="240" w:lineRule="auto"/>
              <w:jc w:val="both"/>
              <w:rPr>
                <w:rFonts w:cs="Calibri"/>
                <w:sz w:val="20"/>
                <w:szCs w:val="20"/>
                <w:lang w:val="es-CO"/>
              </w:rPr>
            </w:pPr>
            <w:r>
              <w:rPr>
                <w:rFonts w:cs="Calibri"/>
                <w:sz w:val="20"/>
                <w:szCs w:val="20"/>
                <w:lang w:val="es-CO"/>
              </w:rPr>
              <w:t>No se pueden otorgar títulos en áreas protegidas o zonas de manejo especial.</w:t>
            </w:r>
          </w:p>
          <w:p w:rsidR="00527B8C" w:rsidP="002352AE" w:rsidRDefault="00212A57" w14:paraId="60E43A66" w14:textId="77777777">
            <w:pPr>
              <w:spacing w:after="0" w:line="240" w:lineRule="auto"/>
              <w:jc w:val="both"/>
              <w:rPr>
                <w:rFonts w:cs="Calibri"/>
                <w:sz w:val="20"/>
                <w:szCs w:val="20"/>
                <w:lang w:val="es-CO"/>
              </w:rPr>
            </w:pPr>
            <w:r>
              <w:rPr>
                <w:rFonts w:cs="Calibri"/>
                <w:sz w:val="20"/>
                <w:szCs w:val="20"/>
                <w:lang w:val="es-CO"/>
              </w:rPr>
              <w:t>Se exige monitoreo territorializado, interoperabilidad de datos y participación comunitaria.</w:t>
            </w:r>
          </w:p>
          <w:p w:rsidR="00527B8C" w:rsidP="002352AE" w:rsidRDefault="00212A57" w14:paraId="2EA1562A" w14:textId="77777777">
            <w:pPr>
              <w:spacing w:after="0" w:line="240" w:lineRule="auto"/>
              <w:jc w:val="both"/>
              <w:rPr>
                <w:rFonts w:cs="Calibri"/>
                <w:sz w:val="20"/>
                <w:szCs w:val="20"/>
                <w:lang w:val="es-CO"/>
              </w:rPr>
            </w:pPr>
            <w:r>
              <w:rPr>
                <w:rFonts w:cs="Calibri"/>
                <w:sz w:val="20"/>
                <w:szCs w:val="20"/>
                <w:lang w:val="es-CO"/>
              </w:rPr>
              <w:t>Refuerza la necesidad de alinear la explotación con políticas de conservación amazónica y compromisos internacionales (Convenio de Diversidad Biológica, Ramsar).</w:t>
            </w:r>
          </w:p>
        </w:tc>
      </w:tr>
      <w:tr w:rsidR="00527B8C" w:rsidTr="544B9055" w14:paraId="41CCF06B" w14:textId="77777777">
        <w:trPr>
          <w:trHeight w:val="300"/>
        </w:trPr>
        <w:tc>
          <w:tcPr>
            <w:tcW w:w="2220" w:type="dxa"/>
            <w:tcMar/>
            <w:vAlign w:val="center"/>
          </w:tcPr>
          <w:p w:rsidR="00527B8C" w:rsidP="002352AE" w:rsidRDefault="00212A57" w14:paraId="286ECD21" w14:textId="77777777">
            <w:pPr>
              <w:spacing w:after="0" w:line="240" w:lineRule="auto"/>
              <w:jc w:val="both"/>
              <w:rPr>
                <w:rFonts w:cs="Calibri"/>
                <w:b/>
                <w:bCs/>
                <w:sz w:val="20"/>
                <w:szCs w:val="20"/>
                <w:lang w:val="es-CO"/>
              </w:rPr>
            </w:pPr>
            <w:r>
              <w:rPr>
                <w:rFonts w:cs="Calibri"/>
                <w:b/>
                <w:bCs/>
                <w:color w:val="000000" w:themeColor="text1"/>
                <w:sz w:val="20"/>
                <w:szCs w:val="20"/>
                <w:lang w:val="es-CO"/>
              </w:rPr>
              <w:t>Ley 99 de 1993</w:t>
            </w:r>
          </w:p>
        </w:tc>
        <w:tc>
          <w:tcPr>
            <w:tcW w:w="3310" w:type="dxa"/>
            <w:tcMar/>
            <w:vAlign w:val="center"/>
          </w:tcPr>
          <w:p w:rsidR="00527B8C" w:rsidP="002352AE" w:rsidRDefault="00212A57" w14:paraId="3DC0462D" w14:textId="77777777">
            <w:pPr>
              <w:spacing w:after="0" w:line="240" w:lineRule="auto"/>
              <w:jc w:val="both"/>
              <w:rPr>
                <w:rFonts w:cs="Calibri"/>
                <w:color w:val="464FEB"/>
                <w:sz w:val="20"/>
                <w:szCs w:val="20"/>
                <w:lang w:val="es-CO"/>
              </w:rPr>
            </w:pPr>
            <w:r>
              <w:rPr>
                <w:rFonts w:cs="Calibri"/>
                <w:sz w:val="20"/>
                <w:szCs w:val="20"/>
                <w:lang w:val="es-CO"/>
              </w:rPr>
              <w:t>La ley asigna a las Corporaciones Autónomas Regionales (CAR) la función de evaluar, controlar y hacer seguimiento ambiental de actividades relacionadas con la exploración, explotación, transporte, uso y depósito de recursos naturales no renovables —lo que incluye el material de arrastre.</w:t>
            </w:r>
          </w:p>
          <w:p w:rsidR="00527B8C" w:rsidP="002352AE" w:rsidRDefault="00212A57" w14:paraId="1451085D" w14:textId="77777777">
            <w:pPr>
              <w:spacing w:after="0" w:line="240" w:lineRule="auto"/>
              <w:jc w:val="both"/>
              <w:rPr>
                <w:rFonts w:cs="Calibri"/>
                <w:sz w:val="20"/>
                <w:szCs w:val="20"/>
                <w:lang w:val="es-CO"/>
              </w:rPr>
            </w:pPr>
            <w:r>
              <w:rPr>
                <w:rFonts w:cs="Calibri"/>
                <w:sz w:val="20"/>
                <w:szCs w:val="20"/>
                <w:lang w:val="es-CO"/>
              </w:rPr>
              <w:t>Estas competencias se limitan a control y supervisión, y no incluyen la reglamentación o autorización de la explotación, que corresponde al Ministerio de Minas y Energía.</w:t>
            </w:r>
          </w:p>
        </w:tc>
        <w:tc>
          <w:tcPr>
            <w:tcW w:w="3240" w:type="dxa"/>
            <w:tcMar/>
            <w:vAlign w:val="center"/>
          </w:tcPr>
          <w:p w:rsidR="00527B8C" w:rsidP="002352AE" w:rsidRDefault="00212A57" w14:paraId="03BA8D5D" w14:textId="77777777">
            <w:pPr>
              <w:spacing w:after="0" w:line="240" w:lineRule="auto"/>
              <w:jc w:val="both"/>
              <w:rPr>
                <w:rFonts w:cs="Calibri"/>
                <w:color w:val="464FEB"/>
                <w:sz w:val="20"/>
                <w:szCs w:val="20"/>
                <w:lang w:val="es-CO"/>
              </w:rPr>
            </w:pPr>
            <w:r>
              <w:rPr>
                <w:rFonts w:cs="Calibri"/>
                <w:sz w:val="20"/>
                <w:szCs w:val="20"/>
                <w:lang w:val="es-CO"/>
              </w:rPr>
              <w:t xml:space="preserve">La ley establece que el consumo humano tiene prioridad sobre otros usos del agua, en línea con los principios de sostenibilidad. Esto es relevante si la explotación de arrastre afecta fuentes hídricas. </w:t>
            </w:r>
          </w:p>
          <w:p w:rsidR="00527B8C" w:rsidP="002352AE" w:rsidRDefault="00212A57" w14:paraId="26CDD764" w14:textId="77777777">
            <w:pPr>
              <w:spacing w:after="0" w:line="240" w:lineRule="auto"/>
              <w:jc w:val="both"/>
              <w:rPr>
                <w:rFonts w:cs="Calibri"/>
                <w:sz w:val="20"/>
                <w:szCs w:val="20"/>
                <w:lang w:val="es-CO"/>
              </w:rPr>
            </w:pPr>
            <w:r>
              <w:rPr>
                <w:rFonts w:cs="Calibri"/>
                <w:sz w:val="20"/>
                <w:szCs w:val="20"/>
                <w:lang w:val="es-CO"/>
              </w:rPr>
              <w:t>Se reconoce la necesidad de proteger zonas de nacimientos de agua y acuíferos, que a menudo se interceptan con áreas de extracción de agregados.</w:t>
            </w:r>
          </w:p>
        </w:tc>
      </w:tr>
      <w:tr w:rsidR="00527B8C" w:rsidTr="544B9055" w14:paraId="0EB05113" w14:textId="77777777">
        <w:trPr>
          <w:trHeight w:val="300"/>
        </w:trPr>
        <w:tc>
          <w:tcPr>
            <w:tcW w:w="2220" w:type="dxa"/>
            <w:shd w:val="clear" w:color="auto" w:fill="F2F2F2" w:themeFill="background1" w:themeFillShade="F2"/>
            <w:tcMar/>
            <w:vAlign w:val="center"/>
          </w:tcPr>
          <w:p w:rsidR="00527B8C" w:rsidP="002352AE" w:rsidRDefault="00212A57" w14:paraId="6E301195" w14:textId="77777777">
            <w:pPr>
              <w:spacing w:after="0" w:line="240" w:lineRule="auto"/>
              <w:jc w:val="both"/>
              <w:rPr>
                <w:rFonts w:cs="Calibri"/>
                <w:b/>
                <w:bCs/>
                <w:color w:val="000000" w:themeColor="text1"/>
                <w:sz w:val="20"/>
                <w:szCs w:val="20"/>
                <w:lang w:val="es-CO"/>
              </w:rPr>
            </w:pPr>
            <w:r>
              <w:rPr>
                <w:rFonts w:cs="Calibri"/>
                <w:b/>
                <w:bCs/>
                <w:color w:val="000000" w:themeColor="text1"/>
                <w:sz w:val="20"/>
                <w:szCs w:val="20"/>
                <w:lang w:val="es-CO"/>
              </w:rPr>
              <w:t>Ley 2250 de 2022</w:t>
            </w:r>
          </w:p>
        </w:tc>
        <w:tc>
          <w:tcPr>
            <w:tcW w:w="3310" w:type="dxa"/>
            <w:shd w:val="clear" w:color="auto" w:fill="F2F2F2" w:themeFill="background1" w:themeFillShade="F2"/>
            <w:tcMar/>
            <w:vAlign w:val="center"/>
          </w:tcPr>
          <w:p w:rsidR="00527B8C" w:rsidP="002352AE" w:rsidRDefault="00212A57" w14:paraId="451F83BB" w14:textId="77777777">
            <w:pPr>
              <w:spacing w:after="0" w:line="240" w:lineRule="auto"/>
              <w:jc w:val="both"/>
              <w:rPr>
                <w:rFonts w:cs="Calibri"/>
                <w:sz w:val="20"/>
                <w:szCs w:val="20"/>
                <w:lang w:val="es-CO"/>
              </w:rPr>
            </w:pPr>
            <w:r>
              <w:rPr>
                <w:rFonts w:cs="Calibri"/>
                <w:sz w:val="20"/>
                <w:szCs w:val="20"/>
                <w:lang w:val="es-CO"/>
              </w:rPr>
              <w:t>Modifica el Código de Minas (Ley 685 de 2001) para fortalecer la formalización minera, especialmente en la minería de subsistencia, lo que incluye la explotación de materiales de arrastre (arenas y gravas en cauces y riberas)</w:t>
            </w:r>
          </w:p>
          <w:p w:rsidR="00527B8C" w:rsidP="002352AE" w:rsidRDefault="00527B8C" w14:paraId="650D677C" w14:textId="77777777">
            <w:pPr>
              <w:spacing w:after="0" w:line="240" w:lineRule="auto"/>
              <w:jc w:val="both"/>
              <w:rPr>
                <w:rFonts w:cs="Calibri"/>
                <w:sz w:val="20"/>
                <w:szCs w:val="20"/>
                <w:lang w:val="es-CO"/>
              </w:rPr>
            </w:pPr>
          </w:p>
        </w:tc>
        <w:tc>
          <w:tcPr>
            <w:tcW w:w="3240" w:type="dxa"/>
            <w:shd w:val="clear" w:color="auto" w:fill="F2F2F2" w:themeFill="background1" w:themeFillShade="F2"/>
            <w:tcMar/>
            <w:vAlign w:val="center"/>
          </w:tcPr>
          <w:p w:rsidR="00527B8C" w:rsidP="002352AE" w:rsidRDefault="00212A57" w14:paraId="4E47F5FC" w14:textId="77777777">
            <w:pPr>
              <w:spacing w:after="0" w:line="240" w:lineRule="auto"/>
              <w:jc w:val="both"/>
              <w:rPr>
                <w:rFonts w:cs="Calibri"/>
                <w:sz w:val="20"/>
                <w:szCs w:val="20"/>
                <w:lang w:val="es-CO"/>
              </w:rPr>
            </w:pPr>
            <w:r>
              <w:rPr>
                <w:rFonts w:cs="Calibri"/>
                <w:sz w:val="20"/>
                <w:szCs w:val="20"/>
                <w:lang w:val="es-CO"/>
              </w:rPr>
              <w:t>Reconocimiento legal de la minería de subsistencia: La ley establece que quienes realizan extracción artesanal de materiales de arrastre pueden inscribirse en el Registro Único de Comercializadores de Minerales (RUCOM), garantizando trazabilidad y legalidad.</w:t>
            </w:r>
          </w:p>
          <w:p w:rsidR="00527B8C" w:rsidP="002352AE" w:rsidRDefault="00212A57" w14:paraId="39B49AA4" w14:textId="77777777">
            <w:pPr>
              <w:spacing w:after="0" w:line="240" w:lineRule="auto"/>
              <w:jc w:val="both"/>
              <w:rPr>
                <w:rFonts w:cs="Calibri"/>
                <w:sz w:val="20"/>
                <w:szCs w:val="20"/>
                <w:lang w:val="es-CO"/>
              </w:rPr>
            </w:pPr>
            <w:r>
              <w:rPr>
                <w:rFonts w:cs="Calibri"/>
                <w:sz w:val="20"/>
                <w:szCs w:val="20"/>
                <w:lang w:val="es-CO"/>
              </w:rPr>
              <w:t>Facilita la formalización: Introduce mecanismos para que pequeños mineros, incluidos los que explotan arenas y gravas, accedan a procesos simplificados de formalización, evitando la ilegalidad.</w:t>
            </w:r>
          </w:p>
          <w:p w:rsidR="00527B8C" w:rsidP="002352AE" w:rsidRDefault="00212A57" w14:paraId="609D541A" w14:textId="77777777">
            <w:pPr>
              <w:spacing w:after="0" w:line="240" w:lineRule="auto"/>
              <w:jc w:val="both"/>
              <w:rPr>
                <w:rFonts w:cs="Calibri"/>
                <w:sz w:val="20"/>
                <w:szCs w:val="20"/>
                <w:lang w:val="es-CO"/>
              </w:rPr>
            </w:pPr>
            <w:r>
              <w:rPr>
                <w:rFonts w:cs="Calibri"/>
                <w:sz w:val="20"/>
                <w:szCs w:val="20"/>
                <w:lang w:val="es-CO"/>
              </w:rPr>
              <w:t>Control y sostenibilidad: Refuerza la obligación de cumplir con requisitos ambientales y de seguridad, incluso en minería de subsistencia, para reducir impactos en cauces y ecosistemas.</w:t>
            </w:r>
          </w:p>
        </w:tc>
      </w:tr>
      <w:tr w:rsidR="00527B8C" w:rsidTr="544B9055" w14:paraId="020D27EA" w14:textId="77777777">
        <w:trPr>
          <w:trHeight w:val="300"/>
        </w:trPr>
        <w:tc>
          <w:tcPr>
            <w:tcW w:w="2220" w:type="dxa"/>
            <w:tcMar/>
            <w:vAlign w:val="center"/>
          </w:tcPr>
          <w:p w:rsidR="00527B8C" w:rsidP="002352AE" w:rsidRDefault="00212A57" w14:paraId="1D230166" w14:textId="77777777">
            <w:pPr>
              <w:spacing w:after="0" w:line="240" w:lineRule="auto"/>
              <w:jc w:val="both"/>
              <w:rPr>
                <w:rFonts w:cs="Calibri"/>
                <w:b/>
                <w:bCs/>
                <w:sz w:val="20"/>
                <w:szCs w:val="20"/>
                <w:lang w:val="es-CO"/>
              </w:rPr>
            </w:pPr>
            <w:r>
              <w:rPr>
                <w:rFonts w:cs="Calibri"/>
                <w:b/>
                <w:bCs/>
                <w:sz w:val="20"/>
                <w:szCs w:val="20"/>
                <w:lang w:val="es-CO"/>
              </w:rPr>
              <w:t>Resoluciones 0631 del 10 de junio de 2025 y 0636 del 13 de junio de 2025</w:t>
            </w:r>
          </w:p>
          <w:p w:rsidR="00527B8C" w:rsidP="002352AE" w:rsidRDefault="00527B8C" w14:paraId="62F96212" w14:textId="77777777">
            <w:pPr>
              <w:spacing w:after="0" w:line="240" w:lineRule="auto"/>
              <w:jc w:val="both"/>
              <w:rPr>
                <w:rFonts w:cs="Calibri"/>
                <w:b/>
                <w:bCs/>
                <w:color w:val="000000" w:themeColor="text1"/>
                <w:sz w:val="20"/>
                <w:szCs w:val="20"/>
                <w:lang w:val="es-CO"/>
              </w:rPr>
            </w:pPr>
          </w:p>
        </w:tc>
        <w:tc>
          <w:tcPr>
            <w:tcW w:w="3310" w:type="dxa"/>
            <w:tcMar/>
            <w:vAlign w:val="center"/>
          </w:tcPr>
          <w:p w:rsidR="00527B8C" w:rsidP="002352AE" w:rsidRDefault="00212A57" w14:paraId="14343957" w14:textId="77777777">
            <w:pPr>
              <w:spacing w:after="0" w:line="240" w:lineRule="auto"/>
              <w:jc w:val="both"/>
              <w:rPr>
                <w:rFonts w:cs="Calibri"/>
                <w:sz w:val="20"/>
                <w:szCs w:val="20"/>
                <w:lang w:val="es-CO"/>
              </w:rPr>
            </w:pPr>
            <w:r>
              <w:rPr>
                <w:rFonts w:cs="Calibri"/>
                <w:sz w:val="20"/>
                <w:szCs w:val="20"/>
                <w:lang w:val="es-CO"/>
              </w:rPr>
              <w:t>Actualizan y fortalecen el marco de formalización minera, especialmente para la minería de subsistencia, que incluye la explotación de materiales de arrastre (arenas y gravas en cauces y riberas).</w:t>
            </w:r>
          </w:p>
          <w:p w:rsidR="00527B8C" w:rsidP="002352AE" w:rsidRDefault="00527B8C" w14:paraId="32886831" w14:textId="77777777">
            <w:pPr>
              <w:spacing w:after="0" w:line="240" w:lineRule="auto"/>
              <w:jc w:val="both"/>
              <w:rPr>
                <w:rFonts w:cs="Calibri"/>
                <w:sz w:val="20"/>
                <w:szCs w:val="20"/>
                <w:lang w:val="es-CO"/>
              </w:rPr>
            </w:pPr>
          </w:p>
        </w:tc>
        <w:tc>
          <w:tcPr>
            <w:tcW w:w="3240" w:type="dxa"/>
            <w:tcMar/>
            <w:vAlign w:val="center"/>
          </w:tcPr>
          <w:p w:rsidR="00527B8C" w:rsidP="002352AE" w:rsidRDefault="00212A57" w14:paraId="3611F25F" w14:textId="77777777">
            <w:pPr>
              <w:spacing w:after="0" w:line="240" w:lineRule="auto"/>
              <w:jc w:val="both"/>
              <w:rPr>
                <w:rFonts w:cs="Calibri"/>
                <w:sz w:val="20"/>
                <w:szCs w:val="20"/>
                <w:lang w:val="es-CO"/>
              </w:rPr>
            </w:pPr>
            <w:r>
              <w:rPr>
                <w:rFonts w:cs="Calibri"/>
                <w:sz w:val="20"/>
                <w:szCs w:val="20"/>
                <w:lang w:val="es-CO"/>
              </w:rPr>
              <w:t>Establece lineamientos para la inscripción y actualización en el RUCOM (Registro Único de Comercializadores de Minerales) para mineros de subsistencia.</w:t>
            </w:r>
          </w:p>
          <w:p w:rsidR="00527B8C" w:rsidP="002352AE" w:rsidRDefault="00212A57" w14:paraId="698C06CB" w14:textId="77777777">
            <w:pPr>
              <w:spacing w:after="0" w:line="240" w:lineRule="auto"/>
              <w:jc w:val="both"/>
              <w:rPr>
                <w:rFonts w:cs="Calibri"/>
                <w:sz w:val="20"/>
                <w:szCs w:val="20"/>
                <w:lang w:val="es-CO"/>
              </w:rPr>
            </w:pPr>
            <w:r>
              <w:rPr>
                <w:rFonts w:cs="Calibri"/>
                <w:sz w:val="20"/>
                <w:szCs w:val="20"/>
                <w:lang w:val="es-CO"/>
              </w:rPr>
              <w:t>Busca garantizar la trazabilidad y legalidad en la comercialización de materiales de arrastre, evitando su origen ilícito.</w:t>
            </w:r>
          </w:p>
          <w:p w:rsidR="00527B8C" w:rsidP="002352AE" w:rsidRDefault="00212A57" w14:paraId="3BED833F" w14:textId="77777777">
            <w:pPr>
              <w:spacing w:after="0" w:line="240" w:lineRule="auto"/>
              <w:jc w:val="both"/>
              <w:rPr>
                <w:rFonts w:cs="Calibri"/>
                <w:sz w:val="20"/>
                <w:szCs w:val="20"/>
                <w:lang w:val="es-CO"/>
              </w:rPr>
            </w:pPr>
            <w:r>
              <w:rPr>
                <w:rFonts w:cs="Calibri"/>
                <w:sz w:val="20"/>
                <w:szCs w:val="20"/>
                <w:lang w:val="es-CO"/>
              </w:rPr>
              <w:t>Resolución 0636 de 2025:</w:t>
            </w:r>
          </w:p>
          <w:p w:rsidR="00527B8C" w:rsidP="002352AE" w:rsidRDefault="00212A57" w14:paraId="21D0D823" w14:textId="77777777">
            <w:pPr>
              <w:spacing w:after="0" w:line="240" w:lineRule="auto"/>
              <w:jc w:val="both"/>
              <w:rPr>
                <w:rFonts w:cs="Calibri"/>
                <w:sz w:val="20"/>
                <w:szCs w:val="20"/>
                <w:lang w:val="es-CO"/>
              </w:rPr>
            </w:pPr>
            <w:r>
              <w:rPr>
                <w:rFonts w:cs="Calibri"/>
                <w:sz w:val="20"/>
                <w:szCs w:val="20"/>
                <w:lang w:val="es-CO"/>
              </w:rPr>
              <w:t>Complementa la anterior al definir procedimientos y requisitos simplificados para la formalización de pequeños mineros, incluyendo quienes extraen materiales de arrastre.</w:t>
            </w:r>
          </w:p>
          <w:p w:rsidR="00527B8C" w:rsidP="002352AE" w:rsidRDefault="00212A57" w14:paraId="64007ECB" w14:textId="77777777">
            <w:pPr>
              <w:spacing w:after="0" w:line="240" w:lineRule="auto"/>
              <w:jc w:val="both"/>
              <w:rPr>
                <w:rFonts w:cs="Calibri"/>
                <w:sz w:val="20"/>
                <w:szCs w:val="20"/>
                <w:lang w:val="es-CO"/>
              </w:rPr>
            </w:pPr>
            <w:r>
              <w:rPr>
                <w:rFonts w:cs="Calibri"/>
                <w:sz w:val="20"/>
                <w:szCs w:val="20"/>
                <w:lang w:val="es-CO"/>
              </w:rPr>
              <w:t>Refuerza la obligación de cumplir con condiciones ambientales y de seguridad, incluso en minería artesanal.</w:t>
            </w:r>
          </w:p>
        </w:tc>
      </w:tr>
      <w:tr w:rsidR="00527B8C" w:rsidTr="544B9055" w14:paraId="27E95634" w14:textId="77777777">
        <w:trPr>
          <w:trHeight w:val="300"/>
        </w:trPr>
        <w:tc>
          <w:tcPr>
            <w:tcW w:w="2220" w:type="dxa"/>
            <w:shd w:val="clear" w:color="auto" w:fill="F2F2F2" w:themeFill="background1" w:themeFillShade="F2"/>
            <w:tcMar/>
            <w:vAlign w:val="center"/>
          </w:tcPr>
          <w:p w:rsidR="00527B8C" w:rsidP="002352AE" w:rsidRDefault="00212A57" w14:paraId="4DC0DA47" w14:textId="77777777">
            <w:pPr>
              <w:spacing w:after="0" w:line="240" w:lineRule="auto"/>
              <w:jc w:val="both"/>
              <w:rPr>
                <w:rFonts w:cs="Calibri"/>
                <w:b/>
                <w:bCs/>
                <w:sz w:val="20"/>
                <w:szCs w:val="20"/>
                <w:lang w:val="es-CO"/>
              </w:rPr>
            </w:pPr>
            <w:r>
              <w:rPr>
                <w:rFonts w:cs="Calibri"/>
                <w:b/>
                <w:bCs/>
                <w:sz w:val="20"/>
                <w:szCs w:val="20"/>
                <w:lang w:val="es-CO"/>
              </w:rPr>
              <w:t>Resolución 2367 de 2007</w:t>
            </w:r>
          </w:p>
          <w:p w:rsidR="00527B8C" w:rsidP="002352AE" w:rsidRDefault="00527B8C" w14:paraId="7A82BE51" w14:textId="77777777">
            <w:pPr>
              <w:spacing w:after="0" w:line="240" w:lineRule="auto"/>
              <w:jc w:val="both"/>
              <w:rPr>
                <w:rFonts w:cs="Calibri"/>
                <w:b/>
                <w:bCs/>
                <w:sz w:val="20"/>
                <w:szCs w:val="20"/>
                <w:lang w:val="es-CO"/>
              </w:rPr>
            </w:pPr>
          </w:p>
        </w:tc>
        <w:tc>
          <w:tcPr>
            <w:tcW w:w="3310" w:type="dxa"/>
            <w:shd w:val="clear" w:color="auto" w:fill="F2F2F2" w:themeFill="background1" w:themeFillShade="F2"/>
            <w:tcMar/>
            <w:vAlign w:val="center"/>
          </w:tcPr>
          <w:p w:rsidR="00527B8C" w:rsidP="002352AE" w:rsidRDefault="00212A57" w14:paraId="04CC292F" w14:textId="77777777">
            <w:pPr>
              <w:spacing w:after="0" w:line="240" w:lineRule="auto"/>
              <w:jc w:val="both"/>
              <w:rPr>
                <w:rFonts w:cs="Calibri"/>
                <w:sz w:val="20"/>
                <w:szCs w:val="20"/>
                <w:lang w:val="es-CO"/>
              </w:rPr>
            </w:pPr>
            <w:r>
              <w:rPr>
                <w:rFonts w:cs="Calibri"/>
                <w:sz w:val="20"/>
                <w:szCs w:val="20"/>
                <w:lang w:val="es-CO"/>
              </w:rPr>
              <w:t>Expedida por el Ministerio de Ambiente, Vivienda y Desarrollo Territorial, establece los términos de referencia para la elaboración del Estudio de Impacto Ambiental (EIA) para proyectos de explotación minera, incluyendo la extracción de materiales de arrastre (arena, grava, etc.) en cauces y riberas</w:t>
            </w:r>
          </w:p>
          <w:p w:rsidR="00527B8C" w:rsidP="002352AE" w:rsidRDefault="00527B8C" w14:paraId="27549803" w14:textId="77777777">
            <w:pPr>
              <w:spacing w:after="0" w:line="240" w:lineRule="auto"/>
              <w:jc w:val="both"/>
              <w:rPr>
                <w:rFonts w:cs="Calibri"/>
                <w:sz w:val="20"/>
                <w:szCs w:val="20"/>
                <w:lang w:val="es-CO"/>
              </w:rPr>
            </w:pPr>
          </w:p>
        </w:tc>
        <w:tc>
          <w:tcPr>
            <w:tcW w:w="3240" w:type="dxa"/>
            <w:shd w:val="clear" w:color="auto" w:fill="F2F2F2" w:themeFill="background1" w:themeFillShade="F2"/>
            <w:tcMar/>
            <w:vAlign w:val="center"/>
          </w:tcPr>
          <w:p w:rsidR="00527B8C" w:rsidP="002352AE" w:rsidRDefault="00212A57" w14:paraId="73587DCF" w14:textId="77777777">
            <w:pPr>
              <w:spacing w:after="0" w:line="240" w:lineRule="auto"/>
              <w:jc w:val="both"/>
              <w:rPr>
                <w:rFonts w:cs="Calibri"/>
                <w:sz w:val="20"/>
                <w:szCs w:val="20"/>
                <w:lang w:val="es-CO"/>
              </w:rPr>
            </w:pPr>
            <w:r>
              <w:rPr>
                <w:rFonts w:cs="Calibri"/>
                <w:sz w:val="20"/>
                <w:szCs w:val="20"/>
                <w:lang w:val="es-CO"/>
              </w:rPr>
              <w:t>Aplica a proyectos que requieren Licencia Ambiental, según los umbrales establecidos en la normativa (como el Decreto 1076 de 2015).</w:t>
            </w:r>
          </w:p>
          <w:p w:rsidR="00527B8C" w:rsidP="002352AE" w:rsidRDefault="00212A57" w14:paraId="24DF5C6C" w14:textId="77777777">
            <w:pPr>
              <w:spacing w:after="0" w:line="240" w:lineRule="auto"/>
              <w:jc w:val="both"/>
              <w:rPr>
                <w:rFonts w:cs="Calibri"/>
                <w:sz w:val="20"/>
                <w:szCs w:val="20"/>
                <w:lang w:val="es-CO"/>
              </w:rPr>
            </w:pPr>
            <w:r>
              <w:rPr>
                <w:rFonts w:cs="Calibri"/>
                <w:sz w:val="20"/>
                <w:szCs w:val="20"/>
                <w:lang w:val="es-CO"/>
              </w:rPr>
              <w:t>Busca garantizar que la explotación de materiales de arrastre se realice bajo criterios técnicos y ambientales, evitando afectaciones graves a cuerpos de agua y ecosistemas.</w:t>
            </w:r>
          </w:p>
        </w:tc>
      </w:tr>
      <w:tr w:rsidR="00527B8C" w:rsidTr="544B9055" w14:paraId="2238A79E" w14:textId="77777777">
        <w:trPr>
          <w:trHeight w:val="300"/>
        </w:trPr>
        <w:tc>
          <w:tcPr>
            <w:tcW w:w="2220" w:type="dxa"/>
            <w:tcMar/>
            <w:vAlign w:val="center"/>
          </w:tcPr>
          <w:p w:rsidR="00527B8C" w:rsidP="002352AE" w:rsidRDefault="00527B8C" w14:paraId="3D9CE0DB" w14:textId="77777777">
            <w:pPr>
              <w:spacing w:after="0" w:line="240" w:lineRule="auto"/>
              <w:jc w:val="both"/>
              <w:rPr>
                <w:rFonts w:cs="Calibri"/>
                <w:b/>
                <w:bCs/>
                <w:sz w:val="20"/>
                <w:szCs w:val="20"/>
                <w:lang w:val="es-CO"/>
              </w:rPr>
            </w:pPr>
          </w:p>
          <w:p w:rsidR="00527B8C" w:rsidP="002352AE" w:rsidRDefault="00212A57" w14:paraId="466B14D7" w14:textId="77777777">
            <w:pPr>
              <w:spacing w:after="0" w:line="240" w:lineRule="auto"/>
              <w:jc w:val="both"/>
              <w:rPr>
                <w:rFonts w:cs="Calibri"/>
                <w:b/>
                <w:bCs/>
                <w:sz w:val="20"/>
                <w:szCs w:val="20"/>
                <w:lang w:val="es-CO"/>
              </w:rPr>
            </w:pPr>
            <w:r>
              <w:rPr>
                <w:rFonts w:cs="Calibri"/>
                <w:b/>
                <w:bCs/>
                <w:sz w:val="20"/>
                <w:szCs w:val="20"/>
                <w:lang w:val="es-CO"/>
              </w:rPr>
              <w:t>Resolución 0097 de 2011</w:t>
            </w:r>
          </w:p>
        </w:tc>
        <w:tc>
          <w:tcPr>
            <w:tcW w:w="3310" w:type="dxa"/>
            <w:tcMar/>
            <w:vAlign w:val="center"/>
          </w:tcPr>
          <w:p w:rsidR="00527B8C" w:rsidP="002352AE" w:rsidRDefault="00212A57" w14:paraId="150B496F" w14:textId="77777777">
            <w:pPr>
              <w:spacing w:after="0" w:line="240" w:lineRule="auto"/>
              <w:jc w:val="both"/>
              <w:rPr>
                <w:rFonts w:cs="Calibri"/>
                <w:sz w:val="20"/>
                <w:szCs w:val="20"/>
                <w:lang w:val="es-CO"/>
              </w:rPr>
            </w:pPr>
            <w:r>
              <w:rPr>
                <w:rFonts w:cs="Calibri"/>
                <w:sz w:val="20"/>
                <w:szCs w:val="20"/>
                <w:lang w:val="es-CO"/>
              </w:rPr>
              <w:t>Expedida por el Ministerio de Ambiente, Vivienda y Desarrollo Territorial, es relevante porque establece los términos de referencia para la elaboración del Diagnóstico Ambiental de Alternativas (DAA), aplicable a proyectos que requieren Licencia Ambiental, incluyendo la explotación de materiales de arrastre (arena, grava, etc.) cuando superan los umbrales definidos por la normativa.</w:t>
            </w:r>
          </w:p>
        </w:tc>
        <w:tc>
          <w:tcPr>
            <w:tcW w:w="3240" w:type="dxa"/>
            <w:tcMar/>
            <w:vAlign w:val="center"/>
          </w:tcPr>
          <w:p w:rsidR="00527B8C" w:rsidP="002352AE" w:rsidRDefault="00212A57" w14:paraId="6D0CEC2E" w14:textId="77777777">
            <w:pPr>
              <w:spacing w:after="0" w:line="240" w:lineRule="auto"/>
              <w:jc w:val="both"/>
              <w:rPr>
                <w:rFonts w:cs="Calibri"/>
                <w:sz w:val="20"/>
                <w:szCs w:val="20"/>
                <w:lang w:val="es-CO"/>
              </w:rPr>
            </w:pPr>
            <w:r>
              <w:rPr>
                <w:rFonts w:cs="Calibri"/>
                <w:sz w:val="20"/>
                <w:szCs w:val="20"/>
                <w:lang w:val="es-CO"/>
              </w:rPr>
              <w:t>Aplica a proyectos mineros en cauces y riberas, donde la extracción de materiales de arrastre puede generar impactos significativos en recursos hídricos y ecosistemas.</w:t>
            </w:r>
          </w:p>
          <w:p w:rsidR="00527B8C" w:rsidP="002352AE" w:rsidRDefault="00212A57" w14:paraId="23CD9E25" w14:textId="77777777">
            <w:pPr>
              <w:spacing w:after="0" w:line="240" w:lineRule="auto"/>
              <w:jc w:val="both"/>
              <w:rPr>
                <w:rFonts w:cs="Calibri"/>
                <w:sz w:val="20"/>
                <w:szCs w:val="20"/>
                <w:lang w:val="es-CO"/>
              </w:rPr>
            </w:pPr>
            <w:r>
              <w:rPr>
                <w:rFonts w:cs="Calibri"/>
                <w:sz w:val="20"/>
                <w:szCs w:val="20"/>
                <w:lang w:val="es-CO"/>
              </w:rPr>
              <w:t>Es un requisito previo al Estudio de Impacto Ambiental (EIA) y a la obtención de la Licencia Ambiental.</w:t>
            </w:r>
          </w:p>
        </w:tc>
      </w:tr>
      <w:tr w:rsidR="00527B8C" w:rsidTr="544B9055" w14:paraId="50CF6248" w14:textId="77777777">
        <w:trPr>
          <w:trHeight w:val="2400"/>
        </w:trPr>
        <w:tc>
          <w:tcPr>
            <w:tcW w:w="2220" w:type="dxa"/>
            <w:shd w:val="clear" w:color="auto" w:fill="F2F2F2" w:themeFill="background1" w:themeFillShade="F2"/>
            <w:tcMar/>
            <w:vAlign w:val="center"/>
          </w:tcPr>
          <w:p w:rsidR="00527B8C" w:rsidP="002352AE" w:rsidRDefault="00212A57" w14:paraId="72831862" w14:textId="77777777">
            <w:pPr>
              <w:spacing w:after="0" w:line="240" w:lineRule="auto"/>
              <w:jc w:val="both"/>
              <w:rPr>
                <w:rFonts w:cs="Calibri"/>
                <w:b/>
                <w:bCs/>
                <w:sz w:val="20"/>
                <w:szCs w:val="20"/>
                <w:lang w:val="es-CO"/>
              </w:rPr>
            </w:pPr>
            <w:r>
              <w:rPr>
                <w:rFonts w:cs="Calibri"/>
                <w:b/>
                <w:bCs/>
                <w:color w:val="000000" w:themeColor="text1"/>
                <w:sz w:val="20"/>
                <w:szCs w:val="20"/>
                <w:lang w:val="es-CO"/>
              </w:rPr>
              <w:t>Resolución 817 de 2010:</w:t>
            </w:r>
          </w:p>
          <w:p w:rsidR="00527B8C" w:rsidP="002352AE" w:rsidRDefault="00527B8C" w14:paraId="2A4B6C73" w14:textId="77777777">
            <w:pPr>
              <w:spacing w:after="0" w:line="240" w:lineRule="auto"/>
              <w:jc w:val="both"/>
              <w:rPr>
                <w:rFonts w:cs="Calibri"/>
                <w:b/>
                <w:bCs/>
                <w:sz w:val="20"/>
                <w:szCs w:val="20"/>
                <w:lang w:val="es-CO"/>
              </w:rPr>
            </w:pPr>
          </w:p>
        </w:tc>
        <w:tc>
          <w:tcPr>
            <w:tcW w:w="3310" w:type="dxa"/>
            <w:shd w:val="clear" w:color="auto" w:fill="F2F2F2" w:themeFill="background1" w:themeFillShade="F2"/>
            <w:tcMar/>
            <w:vAlign w:val="center"/>
          </w:tcPr>
          <w:p w:rsidR="00527B8C" w:rsidP="002352AE" w:rsidRDefault="00212A57" w14:paraId="2A8C5391" w14:textId="77777777">
            <w:pPr>
              <w:spacing w:after="0" w:line="240" w:lineRule="auto"/>
              <w:jc w:val="both"/>
              <w:rPr>
                <w:rFonts w:cs="Calibri"/>
                <w:sz w:val="20"/>
                <w:szCs w:val="20"/>
                <w:lang w:val="es-CO"/>
              </w:rPr>
            </w:pPr>
            <w:r>
              <w:rPr>
                <w:rFonts w:cs="Calibri"/>
                <w:sz w:val="20"/>
                <w:szCs w:val="20"/>
                <w:lang w:val="es-CO"/>
              </w:rPr>
              <w:t>Expedida por el Ministerio de Ambiente, Vivienda y Desarrollo Territorial, es relevante porque establece los términos de referencia para la elaboración del Estudio de Impacto Ambiental (EIA) para proyectos de explotación minera en cauces de ríos, lo que incluye la extracción de materiales de arrastre (arena, grava, etc.).</w:t>
            </w:r>
          </w:p>
          <w:p w:rsidR="00527B8C" w:rsidP="002352AE" w:rsidRDefault="00527B8C" w14:paraId="646EA8B5" w14:textId="77777777">
            <w:pPr>
              <w:spacing w:after="0" w:line="240" w:lineRule="auto"/>
              <w:jc w:val="both"/>
              <w:rPr>
                <w:rFonts w:cs="Calibri"/>
                <w:sz w:val="20"/>
                <w:szCs w:val="20"/>
                <w:lang w:val="es-CO"/>
              </w:rPr>
            </w:pPr>
          </w:p>
        </w:tc>
        <w:tc>
          <w:tcPr>
            <w:tcW w:w="3240" w:type="dxa"/>
            <w:shd w:val="clear" w:color="auto" w:fill="F2F2F2" w:themeFill="background1" w:themeFillShade="F2"/>
            <w:tcMar/>
            <w:vAlign w:val="center"/>
          </w:tcPr>
          <w:p w:rsidR="00527B8C" w:rsidP="002352AE" w:rsidRDefault="00212A57" w14:paraId="044B0917" w14:textId="77777777">
            <w:pPr>
              <w:spacing w:after="0" w:line="240" w:lineRule="auto"/>
              <w:jc w:val="both"/>
              <w:rPr>
                <w:rFonts w:cs="Calibri"/>
                <w:sz w:val="20"/>
                <w:szCs w:val="20"/>
                <w:lang w:val="es-CO"/>
              </w:rPr>
            </w:pPr>
            <w:r>
              <w:rPr>
                <w:rFonts w:cs="Calibri"/>
                <w:sz w:val="20"/>
                <w:szCs w:val="20"/>
                <w:lang w:val="es-CO"/>
              </w:rPr>
              <w:t>Aplica a proyectos que requieren Licencia Ambiental, especialmente aquellos que intervienen cauces y riberas para extraer materiales de arrastre.</w:t>
            </w:r>
          </w:p>
          <w:p w:rsidR="00527B8C" w:rsidP="002352AE" w:rsidRDefault="00212A57" w14:paraId="4DA868F5" w14:textId="77777777">
            <w:pPr>
              <w:spacing w:after="0" w:line="240" w:lineRule="auto"/>
              <w:jc w:val="both"/>
              <w:rPr>
                <w:rFonts w:cs="Calibri"/>
                <w:sz w:val="20"/>
                <w:szCs w:val="20"/>
                <w:lang w:val="es-CO"/>
              </w:rPr>
            </w:pPr>
            <w:r>
              <w:rPr>
                <w:rFonts w:cs="Calibri"/>
                <w:sz w:val="20"/>
                <w:szCs w:val="20"/>
                <w:lang w:val="es-CO"/>
              </w:rPr>
              <w:t>Busca garantizar que la explotación se realice bajo criterios técnicos y ambientales, evitando afectaciones graves a la dinámica fluvial y la biodiversidad.</w:t>
            </w:r>
          </w:p>
        </w:tc>
      </w:tr>
    </w:tbl>
    <w:p w:rsidRPr="00DD5AA1" w:rsidR="00527B8C" w:rsidP="00DD5AA1" w:rsidRDefault="00212A57" w14:paraId="2508E4B1" w14:textId="77777777">
      <w:pPr>
        <w:spacing w:after="0" w:line="360" w:lineRule="auto"/>
        <w:jc w:val="center"/>
        <w:rPr>
          <w:rFonts w:asciiTheme="majorHAnsi" w:hAnsiTheme="majorHAnsi" w:eastAsiaTheme="majorEastAsia" w:cstheme="majorBidi"/>
          <w:sz w:val="20"/>
          <w:szCs w:val="20"/>
          <w:lang w:val="es-CO"/>
        </w:rPr>
      </w:pPr>
      <w:r w:rsidRPr="00DD5AA1">
        <w:rPr>
          <w:rFonts w:asciiTheme="majorHAnsi" w:hAnsiTheme="majorHAnsi" w:eastAsiaTheme="majorEastAsia" w:cstheme="majorBidi"/>
          <w:sz w:val="20"/>
          <w:szCs w:val="20"/>
          <w:lang w:val="es-CO"/>
        </w:rPr>
        <w:t>Fuente: Secretaría de Medio Ambiente y Recursos Naturales</w:t>
      </w:r>
    </w:p>
    <w:p w:rsidR="002352AE" w:rsidP="544B9055" w:rsidRDefault="002352AE" w14:paraId="2A784D8F" w14:textId="77777777">
      <w:pPr>
        <w:spacing w:after="0" w:line="360" w:lineRule="auto"/>
        <w:jc w:val="both"/>
        <w:rPr>
          <w:rFonts w:ascii="Calibri" w:hAnsi="Calibri" w:eastAsia="ＭＳ ゴシック" w:cs="Times New Roman" w:asciiTheme="majorAscii" w:hAnsiTheme="majorAscii" w:eastAsiaTheme="majorEastAsia" w:cstheme="majorBidi"/>
          <w:i w:val="1"/>
          <w:iCs w:val="1"/>
          <w:sz w:val="24"/>
          <w:szCs w:val="24"/>
          <w:lang w:val="es-CO"/>
        </w:rPr>
      </w:pPr>
    </w:p>
    <w:p w:rsidR="544B9055" w:rsidP="544B9055" w:rsidRDefault="544B9055" w14:paraId="28BAF03D" w14:textId="18DB812E">
      <w:pPr>
        <w:spacing w:after="0" w:line="360" w:lineRule="auto"/>
        <w:jc w:val="both"/>
        <w:rPr>
          <w:rFonts w:ascii="Calibri" w:hAnsi="Calibri" w:eastAsia="ＭＳ ゴシック" w:cs="Times New Roman" w:asciiTheme="majorAscii" w:hAnsiTheme="majorAscii" w:eastAsiaTheme="majorEastAsia" w:cstheme="majorBidi"/>
          <w:i w:val="1"/>
          <w:iCs w:val="1"/>
          <w:sz w:val="24"/>
          <w:szCs w:val="24"/>
          <w:lang w:val="es-CO"/>
        </w:rPr>
      </w:pPr>
    </w:p>
    <w:p w:rsidR="00527B8C" w:rsidRDefault="00212A57" w14:paraId="613A315E" w14:textId="77777777">
      <w:pPr>
        <w:pStyle w:val="Ttulo3"/>
        <w:keepNext w:val="0"/>
        <w:keepLines w:val="0"/>
        <w:spacing w:before="0" w:line="360" w:lineRule="auto"/>
        <w:jc w:val="both"/>
        <w:rPr>
          <w:rFonts w:ascii="Calibri" w:hAnsi="Calibri" w:eastAsia="Calibri" w:cs="Calibri"/>
          <w:sz w:val="24"/>
          <w:szCs w:val="24"/>
          <w:lang w:val="es-CO"/>
        </w:rPr>
      </w:pPr>
      <w:bookmarkStart w:name="_Toc964677298" w:id="859877170"/>
      <w:r w:rsidRPr="53DEF7DD" w:rsidR="670101B5">
        <w:rPr>
          <w:sz w:val="24"/>
          <w:szCs w:val="24"/>
          <w:lang w:val="es-CO"/>
        </w:rPr>
        <w:t>2.6.1. Análisis del marco regulatorio aplicado a materiales de arrastre</w:t>
      </w:r>
      <w:bookmarkEnd w:id="859877170"/>
    </w:p>
    <w:p w:rsidR="00527B8C" w:rsidRDefault="00527B8C" w14:paraId="1084BF8A" w14:textId="77777777">
      <w:pPr>
        <w:spacing w:after="0" w:line="360" w:lineRule="auto"/>
        <w:jc w:val="both"/>
        <w:rPr>
          <w:rFonts w:cs="Calibri"/>
          <w:b/>
          <w:bCs/>
          <w:sz w:val="24"/>
          <w:szCs w:val="24"/>
          <w:lang w:val="es-CO"/>
        </w:rPr>
      </w:pPr>
    </w:p>
    <w:p w:rsidR="00527B8C" w:rsidRDefault="00212A57" w14:paraId="4FB4C32F" w14:textId="77777777">
      <w:pPr>
        <w:pStyle w:val="Ttulo4"/>
        <w:keepNext w:val="0"/>
        <w:keepLines w:val="0"/>
        <w:spacing w:before="0" w:line="360" w:lineRule="auto"/>
        <w:jc w:val="both"/>
        <w:rPr>
          <w:sz w:val="24"/>
          <w:szCs w:val="24"/>
          <w:lang w:val="es-CO"/>
        </w:rPr>
      </w:pPr>
      <w:bookmarkStart w:name="_Toc482699822" w:id="35467780"/>
      <w:r w:rsidRPr="53DEF7DD" w:rsidR="670101B5">
        <w:rPr>
          <w:sz w:val="24"/>
          <w:szCs w:val="24"/>
          <w:lang w:val="es-CO"/>
        </w:rPr>
        <w:t>2.6.1.1. Síntesis ejecutiva</w:t>
      </w:r>
      <w:bookmarkEnd w:id="35467780"/>
    </w:p>
    <w:p w:rsidR="00527B8C" w:rsidRDefault="00527B8C" w14:paraId="64B0C8CD" w14:textId="77777777">
      <w:pPr>
        <w:spacing w:after="0" w:line="360" w:lineRule="auto"/>
        <w:ind w:firstLine="277" w:firstLineChars="126"/>
        <w:jc w:val="both"/>
        <w:rPr>
          <w:lang w:val="es-CO"/>
        </w:rPr>
      </w:pPr>
    </w:p>
    <w:p w:rsidR="00527B8C" w:rsidRDefault="00212A57" w14:paraId="6D143B6F" w14:textId="77777777">
      <w:pPr>
        <w:pStyle w:val="Prrafodelista"/>
        <w:numPr>
          <w:ilvl w:val="0"/>
          <w:numId w:val="26"/>
        </w:numPr>
        <w:spacing w:after="0" w:line="360" w:lineRule="auto"/>
        <w:ind w:firstLine="304" w:firstLineChars="126"/>
        <w:contextualSpacing w:val="0"/>
        <w:jc w:val="both"/>
        <w:rPr>
          <w:rFonts w:cs="Calibri"/>
          <w:sz w:val="24"/>
          <w:szCs w:val="24"/>
          <w:lang w:val="es-CO"/>
        </w:rPr>
      </w:pPr>
      <w:r>
        <w:rPr>
          <w:rFonts w:cs="Calibri"/>
          <w:b/>
          <w:bCs/>
          <w:sz w:val="24"/>
          <w:szCs w:val="24"/>
          <w:lang w:val="es-CO"/>
        </w:rPr>
        <w:t>Protecciones fuertes</w:t>
      </w:r>
      <w:r>
        <w:rPr>
          <w:rFonts w:cs="Calibri"/>
          <w:sz w:val="24"/>
          <w:szCs w:val="24"/>
          <w:lang w:val="es-CO"/>
        </w:rPr>
        <w:t xml:space="preserve">: agua, humedales/SINAP, licencias y estudios, ordenamiento territorial, trazabilidad de subsistencia. </w:t>
      </w:r>
    </w:p>
    <w:p w:rsidR="00527B8C" w:rsidRDefault="00212A57" w14:paraId="3C38FECC" w14:textId="77777777">
      <w:pPr>
        <w:pStyle w:val="Prrafodelista"/>
        <w:numPr>
          <w:ilvl w:val="0"/>
          <w:numId w:val="26"/>
        </w:numPr>
        <w:spacing w:after="0" w:line="360" w:lineRule="auto"/>
        <w:ind w:firstLine="304" w:firstLineChars="126"/>
        <w:jc w:val="both"/>
        <w:rPr>
          <w:rFonts w:cs="Calibri"/>
          <w:sz w:val="24"/>
          <w:szCs w:val="24"/>
          <w:lang w:val="es-CO"/>
        </w:rPr>
      </w:pPr>
      <w:r>
        <w:rPr>
          <w:rFonts w:cs="Calibri"/>
          <w:b/>
          <w:bCs/>
          <w:sz w:val="24"/>
          <w:szCs w:val="24"/>
          <w:lang w:val="es-CO"/>
        </w:rPr>
        <w:t>Intención</w:t>
      </w:r>
      <w:r>
        <w:rPr>
          <w:rFonts w:cs="Calibri"/>
          <w:sz w:val="24"/>
          <w:szCs w:val="24"/>
          <w:lang w:val="es-CO"/>
        </w:rPr>
        <w:t xml:space="preserve">: compatibilizar extracción con conservación, formalizar y controlar, evitar impactos significativos. </w:t>
      </w:r>
    </w:p>
    <w:p w:rsidR="00527B8C" w:rsidRDefault="00212A57" w14:paraId="71939A1E" w14:textId="77777777">
      <w:pPr>
        <w:pStyle w:val="Prrafodelista"/>
        <w:numPr>
          <w:ilvl w:val="0"/>
          <w:numId w:val="26"/>
        </w:numPr>
        <w:spacing w:after="0" w:line="360" w:lineRule="auto"/>
        <w:ind w:firstLine="304" w:firstLineChars="126"/>
        <w:jc w:val="both"/>
        <w:rPr>
          <w:rFonts w:cs="Calibri"/>
          <w:sz w:val="24"/>
          <w:szCs w:val="24"/>
          <w:lang w:val="es-CO"/>
        </w:rPr>
      </w:pPr>
      <w:r>
        <w:rPr>
          <w:rFonts w:cs="Calibri"/>
          <w:b/>
          <w:bCs/>
          <w:sz w:val="24"/>
          <w:szCs w:val="24"/>
          <w:lang w:val="es-CO"/>
        </w:rPr>
        <w:t>Principales destinatarios</w:t>
      </w:r>
      <w:r>
        <w:rPr>
          <w:rFonts w:cs="Calibri"/>
          <w:sz w:val="24"/>
          <w:szCs w:val="24"/>
          <w:lang w:val="es-CO"/>
        </w:rPr>
        <w:t xml:space="preserve">: titulares mineros en cauces, mineros de subsistencia, entidades territoriales. </w:t>
      </w:r>
    </w:p>
    <w:p w:rsidR="00527B8C" w:rsidRDefault="00212A57" w14:paraId="468C7213" w14:textId="77777777">
      <w:pPr>
        <w:pStyle w:val="Prrafodelista"/>
        <w:numPr>
          <w:ilvl w:val="0"/>
          <w:numId w:val="26"/>
        </w:numPr>
        <w:spacing w:after="0" w:line="360" w:lineRule="auto"/>
        <w:ind w:firstLine="304" w:firstLineChars="126"/>
        <w:jc w:val="both"/>
        <w:rPr>
          <w:rFonts w:cs="Calibri"/>
          <w:sz w:val="24"/>
          <w:szCs w:val="24"/>
          <w:lang w:val="es-CO"/>
        </w:rPr>
      </w:pPr>
      <w:r>
        <w:rPr>
          <w:rFonts w:cs="Calibri"/>
          <w:b/>
          <w:bCs/>
          <w:sz w:val="24"/>
          <w:szCs w:val="24"/>
          <w:lang w:val="es-CO"/>
        </w:rPr>
        <w:t>Brechas</w:t>
      </w:r>
      <w:r>
        <w:rPr>
          <w:rFonts w:cs="Calibri"/>
          <w:sz w:val="24"/>
          <w:szCs w:val="24"/>
          <w:lang w:val="es-CO"/>
        </w:rPr>
        <w:t>: impactos acumulativos subumbral, articulación POT–POMCA–títulos, estándares hidrosedimentológicos</w:t>
      </w:r>
      <w:r>
        <w:rPr>
          <w:rStyle w:val="Refdenotaalpie"/>
          <w:rFonts w:cs="Calibri"/>
          <w:sz w:val="24"/>
          <w:szCs w:val="24"/>
          <w:lang w:val="es-CO"/>
        </w:rPr>
        <w:footnoteReference w:id="10"/>
      </w:r>
      <w:r>
        <w:rPr>
          <w:rFonts w:cs="Calibri"/>
          <w:sz w:val="24"/>
          <w:szCs w:val="24"/>
          <w:lang w:val="es-CO"/>
        </w:rPr>
        <w:t xml:space="preserve">, participación intercultural y trazabilidad plena. </w:t>
      </w:r>
    </w:p>
    <w:p w:rsidR="00527B8C" w:rsidRDefault="00212A57" w14:paraId="15012270" w14:textId="77777777">
      <w:pPr>
        <w:pStyle w:val="Prrafodelista"/>
        <w:numPr>
          <w:ilvl w:val="0"/>
          <w:numId w:val="26"/>
        </w:numPr>
        <w:spacing w:after="0" w:line="360" w:lineRule="auto"/>
        <w:ind w:firstLine="304" w:firstLineChars="126"/>
        <w:jc w:val="both"/>
        <w:rPr>
          <w:rFonts w:cs="Calibri"/>
          <w:sz w:val="24"/>
          <w:szCs w:val="24"/>
          <w:lang w:val="es-CO"/>
        </w:rPr>
      </w:pPr>
      <w:r>
        <w:rPr>
          <w:rFonts w:cs="Calibri"/>
          <w:b/>
          <w:bCs/>
          <w:sz w:val="24"/>
          <w:szCs w:val="24"/>
          <w:lang w:val="es-CO"/>
        </w:rPr>
        <w:t>Arquitectura requerida</w:t>
      </w:r>
      <w:r>
        <w:rPr>
          <w:rFonts w:cs="Calibri"/>
          <w:sz w:val="24"/>
          <w:szCs w:val="24"/>
          <w:lang w:val="es-CO"/>
        </w:rPr>
        <w:t xml:space="preserve">: interoperabilidad ANLA–ANM–CAR–territorios, gobernanza multinivel, monitoreo continuo y protocolos de CLPI. </w:t>
      </w:r>
    </w:p>
    <w:p w:rsidR="00527B8C" w:rsidRDefault="00212A57" w14:paraId="6792ECDD" w14:textId="77777777">
      <w:pPr>
        <w:pStyle w:val="Prrafodelista"/>
        <w:numPr>
          <w:ilvl w:val="0"/>
          <w:numId w:val="26"/>
        </w:numPr>
        <w:spacing w:after="0" w:line="360" w:lineRule="auto"/>
        <w:ind w:firstLine="304" w:firstLineChars="126"/>
        <w:jc w:val="both"/>
        <w:rPr>
          <w:rFonts w:cs="Calibri"/>
          <w:sz w:val="24"/>
          <w:szCs w:val="24"/>
          <w:lang w:val="es-CO"/>
        </w:rPr>
      </w:pPr>
      <w:r>
        <w:rPr>
          <w:rFonts w:cs="Calibri"/>
          <w:b/>
          <w:bCs/>
          <w:sz w:val="24"/>
          <w:szCs w:val="24"/>
          <w:lang w:val="es-CO"/>
        </w:rPr>
        <w:t>Deficiencias en Amazonía</w:t>
      </w:r>
      <w:r>
        <w:rPr>
          <w:rFonts w:cs="Calibri"/>
          <w:sz w:val="24"/>
          <w:szCs w:val="24"/>
          <w:lang w:val="es-CO"/>
        </w:rPr>
        <w:t xml:space="preserve">: baja presencia institucional, falta de estándares amazónicos, conflictos de ordenamiento, trazabilidad fluvial y salvaguardas socioculturales operativas. </w:t>
      </w:r>
    </w:p>
    <w:p w:rsidR="00527B8C" w:rsidRDefault="00212A57" w14:paraId="0A95D3BF" w14:textId="77777777">
      <w:pPr>
        <w:spacing w:after="160" w:line="360" w:lineRule="auto"/>
        <w:jc w:val="both"/>
        <w:rPr>
          <w:rFonts w:cs="Calibri"/>
          <w:sz w:val="24"/>
          <w:szCs w:val="24"/>
          <w:lang w:val="es-CO"/>
        </w:rPr>
      </w:pPr>
      <w:r>
        <w:rPr>
          <w:rFonts w:cs="Calibri"/>
          <w:sz w:val="24"/>
          <w:szCs w:val="24"/>
          <w:lang w:val="es-CO"/>
        </w:rPr>
        <w:t xml:space="preserve"> </w:t>
      </w:r>
    </w:p>
    <w:p w:rsidR="00527B8C" w:rsidRDefault="00212A57" w14:paraId="30E90AB9" w14:textId="77777777">
      <w:pPr>
        <w:pStyle w:val="Ttulo4"/>
        <w:spacing w:before="0" w:line="360" w:lineRule="auto"/>
        <w:jc w:val="both"/>
        <w:rPr>
          <w:sz w:val="24"/>
          <w:szCs w:val="24"/>
          <w:lang w:val="es-CO"/>
        </w:rPr>
      </w:pPr>
      <w:bookmarkStart w:name="_Toc236603200" w:id="1266556303"/>
      <w:r w:rsidRPr="53DEF7DD" w:rsidR="670101B5">
        <w:rPr>
          <w:sz w:val="24"/>
          <w:szCs w:val="24"/>
          <w:lang w:val="es-CO"/>
        </w:rPr>
        <w:t>2.6.1.2. Espíritu general del marco normativo</w:t>
      </w:r>
      <w:bookmarkEnd w:id="1266556303"/>
    </w:p>
    <w:p w:rsidR="00527B8C" w:rsidRDefault="00527B8C" w14:paraId="774D27DB" w14:textId="77777777">
      <w:pPr>
        <w:spacing w:after="160" w:line="360" w:lineRule="auto"/>
        <w:jc w:val="both"/>
        <w:rPr>
          <w:rFonts w:cs="Calibri"/>
          <w:sz w:val="24"/>
          <w:szCs w:val="24"/>
          <w:lang w:val="es-CO"/>
        </w:rPr>
      </w:pPr>
    </w:p>
    <w:p w:rsidR="00527B8C" w:rsidRDefault="00212A57" w14:paraId="65FEF5CA" w14:textId="77777777">
      <w:pPr>
        <w:spacing w:after="0" w:line="360" w:lineRule="auto"/>
        <w:ind w:firstLine="302" w:firstLineChars="126"/>
        <w:jc w:val="both"/>
        <w:rPr>
          <w:rFonts w:cs="Calibri"/>
          <w:sz w:val="24"/>
          <w:szCs w:val="24"/>
          <w:lang w:val="es-CO"/>
        </w:rPr>
      </w:pPr>
      <w:r>
        <w:rPr>
          <w:rFonts w:cs="Calibri"/>
          <w:sz w:val="24"/>
          <w:szCs w:val="24"/>
          <w:lang w:val="es-CO"/>
        </w:rPr>
        <w:t xml:space="preserve">El conjunto normativo busca compatibilizar el aprovechamiento de materiales de arrastre (arena, grava, agregados aluviales) con la sostenibilidad socio-ecológica, privilegiando el agua para consumo humano, la integridad de cauces y humedales, y la conservación de la biodiversidad, al tiempo que ofrece rutas de formalización para pequeña minería y subsistencia. </w:t>
      </w:r>
    </w:p>
    <w:p w:rsidR="00527B8C" w:rsidRDefault="00527B8C" w14:paraId="012842B1" w14:textId="77777777">
      <w:pPr>
        <w:spacing w:after="0" w:line="360" w:lineRule="auto"/>
        <w:ind w:firstLine="302" w:firstLineChars="126"/>
        <w:jc w:val="both"/>
        <w:rPr>
          <w:rFonts w:cs="Calibri"/>
          <w:sz w:val="24"/>
          <w:szCs w:val="24"/>
          <w:lang w:val="es-CO"/>
        </w:rPr>
      </w:pPr>
    </w:p>
    <w:p w:rsidR="00527B8C" w:rsidRDefault="00212A57" w14:paraId="009340E5" w14:textId="77777777">
      <w:pPr>
        <w:spacing w:after="0" w:line="360" w:lineRule="auto"/>
        <w:ind w:firstLine="302" w:firstLineChars="126"/>
        <w:jc w:val="both"/>
        <w:rPr>
          <w:rFonts w:cs="Calibri"/>
          <w:b/>
          <w:bCs/>
          <w:sz w:val="24"/>
          <w:szCs w:val="24"/>
          <w:lang w:val="es-CO"/>
        </w:rPr>
      </w:pPr>
      <w:r>
        <w:rPr>
          <w:rFonts w:cs="Calibri"/>
          <w:sz w:val="24"/>
          <w:szCs w:val="24"/>
          <w:lang w:val="es-CO"/>
        </w:rPr>
        <w:t xml:space="preserve">La intención es evitar impactos significativos mediante planificación territorial, licenciamiento robusto, estudios técnicos obligatorios, y monitoreo, articulando competencias entre autoridad minera (ANM/MME) y autoridades ambientales (ANLA/CAR). </w:t>
      </w:r>
    </w:p>
    <w:p w:rsidR="00527B8C" w:rsidRDefault="00527B8C" w14:paraId="2C2D3456" w14:textId="77777777">
      <w:pPr>
        <w:spacing w:after="0" w:line="360" w:lineRule="auto"/>
        <w:jc w:val="both"/>
        <w:rPr>
          <w:rFonts w:cs="Calibri"/>
          <w:b/>
          <w:bCs/>
          <w:sz w:val="24"/>
          <w:szCs w:val="24"/>
          <w:lang w:val="es-CO"/>
        </w:rPr>
      </w:pPr>
    </w:p>
    <w:p w:rsidR="00527B8C" w:rsidRDefault="00212A57" w14:paraId="5D3D8D7C" w14:textId="77777777">
      <w:pPr>
        <w:pStyle w:val="Ttulo4"/>
        <w:keepNext w:val="0"/>
        <w:keepLines w:val="0"/>
        <w:spacing w:before="0" w:line="360" w:lineRule="auto"/>
        <w:jc w:val="both"/>
        <w:rPr>
          <w:sz w:val="24"/>
          <w:szCs w:val="24"/>
          <w:lang w:val="es-CO"/>
        </w:rPr>
      </w:pPr>
      <w:bookmarkStart w:name="_Toc166651290" w:id="383066537"/>
      <w:r w:rsidRPr="53DEF7DD" w:rsidR="670101B5">
        <w:rPr>
          <w:sz w:val="24"/>
          <w:szCs w:val="24"/>
          <w:lang w:val="es-CO"/>
        </w:rPr>
        <w:t>2.6.1.3. Temas con mayor protección normativa</w:t>
      </w:r>
      <w:bookmarkEnd w:id="383066537"/>
    </w:p>
    <w:p w:rsidR="00527B8C" w:rsidRDefault="00527B8C" w14:paraId="1D69AF1E" w14:textId="77777777">
      <w:pPr>
        <w:spacing w:after="0" w:line="360" w:lineRule="auto"/>
        <w:ind w:firstLine="304" w:firstLineChars="126"/>
        <w:jc w:val="both"/>
        <w:rPr>
          <w:rFonts w:cs="Calibri"/>
          <w:b/>
          <w:bCs/>
          <w:sz w:val="24"/>
          <w:szCs w:val="24"/>
          <w:lang w:val="es-CO"/>
        </w:rPr>
      </w:pPr>
    </w:p>
    <w:p w:rsidR="00527B8C" w:rsidRDefault="00212A57" w14:paraId="7A6FE49E" w14:textId="77777777">
      <w:pPr>
        <w:spacing w:after="0" w:line="360" w:lineRule="auto"/>
        <w:ind w:firstLine="304" w:firstLineChars="126"/>
        <w:jc w:val="both"/>
        <w:rPr>
          <w:rFonts w:cs="Calibri"/>
          <w:b/>
          <w:bCs/>
          <w:sz w:val="24"/>
          <w:szCs w:val="24"/>
          <w:lang w:val="es-CO"/>
        </w:rPr>
      </w:pPr>
      <w:r>
        <w:rPr>
          <w:rFonts w:cs="Calibri"/>
          <w:b/>
          <w:bCs/>
          <w:sz w:val="24"/>
          <w:szCs w:val="24"/>
          <w:lang w:val="es-CO"/>
        </w:rPr>
        <w:t>a) Protección del recurso hídrico y dinámica fluvial</w:t>
      </w:r>
    </w:p>
    <w:p w:rsidR="00527B8C" w:rsidRDefault="00212A57" w14:paraId="31A26F9F" w14:textId="77777777">
      <w:pPr>
        <w:pStyle w:val="Prrafodelista"/>
        <w:numPr>
          <w:ilvl w:val="0"/>
          <w:numId w:val="27"/>
        </w:numPr>
        <w:spacing w:after="0" w:line="360" w:lineRule="auto"/>
        <w:ind w:firstLine="302" w:firstLineChars="126"/>
        <w:jc w:val="both"/>
        <w:rPr>
          <w:rFonts w:cs="Calibri"/>
          <w:sz w:val="24"/>
          <w:szCs w:val="24"/>
          <w:lang w:val="es-CO"/>
        </w:rPr>
      </w:pPr>
      <w:r>
        <w:rPr>
          <w:rFonts w:cs="Calibri"/>
          <w:sz w:val="24"/>
          <w:szCs w:val="24"/>
          <w:lang w:val="es-CO"/>
        </w:rPr>
        <w:t xml:space="preserve">Requerimientos de concesión de agua y permisos ambientales, con énfasis en estabilidad hidráulica, calidad del agua y conectividad ecológica (Decreto 1640 de 2012; líneas de licenciamiento y estudios ambientales en resoluciones 0566/2018, 0886/2018, 0957/2018). </w:t>
      </w:r>
    </w:p>
    <w:p w:rsidR="00527B8C" w:rsidRDefault="00212A57" w14:paraId="3FA0E1BB" w14:textId="77777777">
      <w:pPr>
        <w:pStyle w:val="Prrafodelista"/>
        <w:numPr>
          <w:ilvl w:val="0"/>
          <w:numId w:val="27"/>
        </w:numPr>
        <w:spacing w:after="0" w:line="360" w:lineRule="auto"/>
        <w:ind w:firstLine="302" w:firstLineChars="126"/>
        <w:jc w:val="both"/>
        <w:rPr>
          <w:rFonts w:cs="Calibri"/>
          <w:sz w:val="24"/>
          <w:szCs w:val="24"/>
          <w:lang w:val="es-CO"/>
        </w:rPr>
      </w:pPr>
      <w:r>
        <w:rPr>
          <w:rFonts w:cs="Calibri"/>
          <w:sz w:val="24"/>
          <w:szCs w:val="24"/>
          <w:lang w:val="es-CO"/>
        </w:rPr>
        <w:t xml:space="preserve">Evaluaciones hidrológicas detalladas, monitoreo permanente y alertas tempranas por riesgos de inundación, erosión y deslizamientos (Ley 1523 de 2012). </w:t>
      </w:r>
    </w:p>
    <w:p w:rsidR="00527B8C" w:rsidRDefault="00527B8C" w14:paraId="1A009AE7" w14:textId="77777777">
      <w:pPr>
        <w:pStyle w:val="Prrafodelista"/>
        <w:spacing w:after="0" w:line="360" w:lineRule="auto"/>
        <w:ind w:firstLine="302" w:firstLineChars="126"/>
        <w:jc w:val="both"/>
        <w:rPr>
          <w:rFonts w:cs="Calibri"/>
          <w:sz w:val="24"/>
          <w:szCs w:val="24"/>
          <w:lang w:val="es-CO"/>
        </w:rPr>
      </w:pPr>
    </w:p>
    <w:p w:rsidR="00527B8C" w:rsidRDefault="00212A57" w14:paraId="24434CD6" w14:textId="77777777">
      <w:pPr>
        <w:spacing w:after="160" w:line="360" w:lineRule="auto"/>
        <w:ind w:firstLine="304" w:firstLineChars="126"/>
        <w:jc w:val="both"/>
        <w:rPr>
          <w:rFonts w:cs="Calibri"/>
          <w:b/>
          <w:bCs/>
          <w:sz w:val="24"/>
          <w:szCs w:val="24"/>
          <w:lang w:val="es-CO"/>
        </w:rPr>
      </w:pPr>
      <w:r>
        <w:rPr>
          <w:rFonts w:cs="Calibri"/>
          <w:b/>
          <w:bCs/>
          <w:sz w:val="24"/>
          <w:szCs w:val="24"/>
          <w:lang w:val="es-CO"/>
        </w:rPr>
        <w:t>b) Áreas protegidas, humedales y zonas de manejo especial</w:t>
      </w:r>
    </w:p>
    <w:p w:rsidR="00527B8C" w:rsidRDefault="00212A57" w14:paraId="44E77B11" w14:textId="77777777">
      <w:pPr>
        <w:pStyle w:val="Prrafodelista"/>
        <w:numPr>
          <w:ilvl w:val="0"/>
          <w:numId w:val="28"/>
        </w:numPr>
        <w:spacing w:after="0" w:line="360" w:lineRule="auto"/>
        <w:ind w:firstLine="302" w:firstLineChars="126"/>
        <w:jc w:val="both"/>
        <w:rPr>
          <w:rFonts w:cs="Calibri"/>
          <w:sz w:val="24"/>
          <w:szCs w:val="24"/>
          <w:lang w:val="es-CO"/>
        </w:rPr>
      </w:pPr>
      <w:r>
        <w:rPr>
          <w:rFonts w:cs="Calibri"/>
          <w:sz w:val="24"/>
          <w:szCs w:val="24"/>
          <w:lang w:val="es-CO"/>
        </w:rPr>
        <w:t xml:space="preserve">Prohibición/condicionamiento de la explotación en el SINAP y zonas de amortiguamiento (Decreto 2372 de 2010) y exigencias de conservación en humedales (Ley 357 de 1997). </w:t>
      </w:r>
    </w:p>
    <w:p w:rsidR="00527B8C" w:rsidRDefault="00212A57" w14:paraId="7F692665" w14:textId="77777777">
      <w:pPr>
        <w:pStyle w:val="Prrafodelista"/>
        <w:numPr>
          <w:ilvl w:val="0"/>
          <w:numId w:val="28"/>
        </w:numPr>
        <w:spacing w:after="0" w:line="360" w:lineRule="auto"/>
        <w:ind w:firstLine="302" w:firstLineChars="126"/>
        <w:jc w:val="both"/>
        <w:rPr>
          <w:rFonts w:cs="Calibri"/>
          <w:sz w:val="24"/>
          <w:szCs w:val="24"/>
          <w:lang w:val="es-CO"/>
        </w:rPr>
      </w:pPr>
      <w:r>
        <w:rPr>
          <w:rFonts w:cs="Calibri"/>
          <w:sz w:val="24"/>
          <w:szCs w:val="24"/>
          <w:lang w:val="es-CO"/>
        </w:rPr>
        <w:t xml:space="preserve">Respeto de exclusiones y compatibilidades definidas en POT y demás instrumentos de ordenamiento territorial (Ley 388 de 1997). </w:t>
      </w:r>
    </w:p>
    <w:p w:rsidR="00527B8C" w:rsidRDefault="00527B8C" w14:paraId="7FF2EE1E" w14:textId="77777777">
      <w:pPr>
        <w:pStyle w:val="Prrafodelista"/>
        <w:spacing w:after="0" w:line="360" w:lineRule="auto"/>
        <w:ind w:firstLine="302" w:firstLineChars="126"/>
        <w:jc w:val="both"/>
        <w:rPr>
          <w:rFonts w:cs="Calibri"/>
          <w:sz w:val="24"/>
          <w:szCs w:val="24"/>
          <w:lang w:val="es-CO"/>
        </w:rPr>
      </w:pPr>
    </w:p>
    <w:p w:rsidR="00527B8C" w:rsidRDefault="00212A57" w14:paraId="25A5F7CD" w14:textId="77777777">
      <w:pPr>
        <w:spacing w:after="160" w:line="360" w:lineRule="auto"/>
        <w:ind w:firstLine="304" w:firstLineChars="126"/>
        <w:jc w:val="both"/>
        <w:rPr>
          <w:rFonts w:cs="Calibri"/>
          <w:b/>
          <w:bCs/>
          <w:sz w:val="24"/>
          <w:szCs w:val="24"/>
          <w:lang w:val="es-CO"/>
        </w:rPr>
      </w:pPr>
      <w:r>
        <w:rPr>
          <w:rFonts w:cs="Calibri"/>
          <w:b/>
          <w:bCs/>
          <w:sz w:val="24"/>
          <w:szCs w:val="24"/>
          <w:lang w:val="es-CO"/>
        </w:rPr>
        <w:t>c) Licenciamiento ambiental y estudios</w:t>
      </w:r>
    </w:p>
    <w:p w:rsidR="00527B8C" w:rsidRDefault="00212A57" w14:paraId="6B203389" w14:textId="77777777">
      <w:pPr>
        <w:pStyle w:val="Prrafodelista"/>
        <w:numPr>
          <w:ilvl w:val="0"/>
          <w:numId w:val="29"/>
        </w:numPr>
        <w:spacing w:after="0" w:line="360" w:lineRule="auto"/>
        <w:ind w:firstLine="302" w:firstLineChars="126"/>
        <w:jc w:val="both"/>
        <w:rPr>
          <w:rFonts w:cs="Calibri"/>
          <w:sz w:val="24"/>
          <w:szCs w:val="24"/>
          <w:lang w:val="es-CO"/>
        </w:rPr>
      </w:pPr>
      <w:r>
        <w:rPr>
          <w:rFonts w:cs="Calibri"/>
          <w:sz w:val="24"/>
          <w:szCs w:val="24"/>
          <w:lang w:val="es-CO"/>
        </w:rPr>
        <w:t xml:space="preserve">Umbrales de licencia (Decreto 1076 de 2015) y términos de referencia para DAA/EIA/PMA específicamente en proyectos que intervienen cauces (Resoluciones 2367/2007, 0097/2011, 817/2010, 0566/2018, 0886/2018, 0957/2018). </w:t>
      </w:r>
    </w:p>
    <w:p w:rsidR="00527B8C" w:rsidRDefault="00527B8C" w14:paraId="4D65F439" w14:textId="77777777">
      <w:pPr>
        <w:pStyle w:val="Prrafodelista"/>
        <w:spacing w:after="0" w:line="360" w:lineRule="auto"/>
        <w:ind w:firstLine="302" w:firstLineChars="126"/>
        <w:jc w:val="both"/>
        <w:rPr>
          <w:rFonts w:cs="Calibri"/>
          <w:sz w:val="24"/>
          <w:szCs w:val="24"/>
          <w:lang w:val="es-CO"/>
        </w:rPr>
      </w:pPr>
    </w:p>
    <w:p w:rsidR="00527B8C" w:rsidRDefault="00212A57" w14:paraId="5B570672" w14:textId="77777777">
      <w:pPr>
        <w:spacing w:after="160" w:line="360" w:lineRule="auto"/>
        <w:ind w:firstLine="304" w:firstLineChars="126"/>
        <w:jc w:val="both"/>
        <w:rPr>
          <w:rFonts w:cs="Calibri"/>
          <w:b/>
          <w:bCs/>
          <w:sz w:val="24"/>
          <w:szCs w:val="24"/>
          <w:lang w:val="es-CO"/>
        </w:rPr>
      </w:pPr>
      <w:r>
        <w:rPr>
          <w:rFonts w:cs="Calibri"/>
          <w:b/>
          <w:bCs/>
          <w:sz w:val="24"/>
          <w:szCs w:val="24"/>
          <w:lang w:val="es-CO"/>
        </w:rPr>
        <w:t>d)  Control, trazabilidad y formalización</w:t>
      </w:r>
    </w:p>
    <w:p w:rsidRPr="002352AE" w:rsidR="00527B8C" w:rsidP="002352AE" w:rsidRDefault="00212A57" w14:paraId="5B3A09DB" w14:textId="1F40B9F3">
      <w:pPr>
        <w:pStyle w:val="Prrafodelista"/>
        <w:numPr>
          <w:ilvl w:val="0"/>
          <w:numId w:val="30"/>
        </w:numPr>
        <w:spacing w:after="0" w:line="360" w:lineRule="auto"/>
        <w:ind w:firstLine="302" w:firstLineChars="126"/>
        <w:jc w:val="both"/>
        <w:rPr>
          <w:rFonts w:cs="Calibri"/>
          <w:sz w:val="24"/>
          <w:szCs w:val="24"/>
          <w:lang w:val="es-CO"/>
        </w:rPr>
      </w:pPr>
      <w:r>
        <w:rPr>
          <w:rFonts w:cs="Calibri"/>
          <w:sz w:val="24"/>
          <w:szCs w:val="24"/>
          <w:lang w:val="es-CO"/>
        </w:rPr>
        <w:t xml:space="preserve">RUCOM y módulo </w:t>
      </w:r>
      <w:r>
        <w:rPr>
          <w:rFonts w:cs="Calibri"/>
          <w:b/>
          <w:bCs/>
          <w:sz w:val="24"/>
          <w:szCs w:val="24"/>
          <w:lang w:val="es-CO"/>
        </w:rPr>
        <w:t>GÉNESIS</w:t>
      </w:r>
      <w:r>
        <w:rPr>
          <w:rFonts w:cs="Calibri"/>
          <w:sz w:val="24"/>
          <w:szCs w:val="24"/>
          <w:lang w:val="es-CO"/>
        </w:rPr>
        <w:t xml:space="preserve"> para mineros de subsistencia, volúmenes máximos y condiciones diferenciadas por origen aluvial (Res. 40103/2017, 623/2020; Ley 2250/2022; Res. 0631 y 0636 de 2025). </w:t>
      </w:r>
    </w:p>
    <w:p w:rsidR="00527B8C" w:rsidRDefault="00212A57" w14:paraId="5C9900A8" w14:textId="77777777">
      <w:pPr>
        <w:spacing w:after="160" w:line="360" w:lineRule="auto"/>
        <w:ind w:firstLine="304" w:firstLineChars="126"/>
        <w:jc w:val="both"/>
        <w:rPr>
          <w:rFonts w:cs="Calibri"/>
          <w:b/>
          <w:bCs/>
          <w:sz w:val="24"/>
          <w:szCs w:val="24"/>
          <w:lang w:val="es-CO"/>
        </w:rPr>
      </w:pPr>
      <w:r>
        <w:rPr>
          <w:rFonts w:cs="Calibri"/>
          <w:b/>
          <w:bCs/>
          <w:sz w:val="24"/>
          <w:szCs w:val="24"/>
          <w:lang w:val="es-CO"/>
        </w:rPr>
        <w:t>2) Tipo de actor al que se orientan en mayor medida las regulaciones</w:t>
      </w:r>
    </w:p>
    <w:p w:rsidR="00527B8C" w:rsidRDefault="00212A57" w14:paraId="74BB0EA9" w14:textId="77777777">
      <w:pPr>
        <w:pStyle w:val="Prrafodelista"/>
        <w:numPr>
          <w:ilvl w:val="0"/>
          <w:numId w:val="31"/>
        </w:numPr>
        <w:spacing w:after="0" w:line="360" w:lineRule="auto"/>
        <w:ind w:firstLine="304" w:firstLineChars="126"/>
        <w:jc w:val="both"/>
        <w:rPr>
          <w:rFonts w:cs="Calibri"/>
          <w:sz w:val="24"/>
          <w:szCs w:val="24"/>
          <w:lang w:val="es-CO"/>
        </w:rPr>
      </w:pPr>
      <w:r>
        <w:rPr>
          <w:rFonts w:cs="Calibri"/>
          <w:b/>
          <w:bCs/>
          <w:sz w:val="24"/>
          <w:szCs w:val="24"/>
          <w:lang w:val="es-CO"/>
        </w:rPr>
        <w:t>Proyectos mineros con intervención en cauces</w:t>
      </w:r>
      <w:r>
        <w:rPr>
          <w:rFonts w:cs="Calibri"/>
          <w:sz w:val="24"/>
          <w:szCs w:val="24"/>
          <w:lang w:val="es-CO"/>
        </w:rPr>
        <w:t xml:space="preserve"> (titulares formales): foco en licencias, EIA/PMA, umbrales de producción y coordinación intersectorial (Decreto 1076/2015; resoluciones técnicas). </w:t>
      </w:r>
    </w:p>
    <w:p w:rsidR="00527B8C" w:rsidRDefault="00212A57" w14:paraId="472E5D3C" w14:textId="77777777">
      <w:pPr>
        <w:pStyle w:val="Prrafodelista"/>
        <w:numPr>
          <w:ilvl w:val="0"/>
          <w:numId w:val="31"/>
        </w:numPr>
        <w:spacing w:after="0" w:line="360" w:lineRule="auto"/>
        <w:ind w:firstLine="304" w:firstLineChars="126"/>
        <w:jc w:val="both"/>
        <w:rPr>
          <w:rFonts w:cs="Calibri"/>
          <w:sz w:val="24"/>
          <w:szCs w:val="24"/>
          <w:lang w:val="es-CO"/>
        </w:rPr>
      </w:pPr>
      <w:r>
        <w:rPr>
          <w:rFonts w:cs="Calibri"/>
          <w:b/>
          <w:bCs/>
          <w:sz w:val="24"/>
          <w:szCs w:val="24"/>
          <w:lang w:val="es-CO"/>
        </w:rPr>
        <w:t>Minería de pequeña escala y subsistencia</w:t>
      </w:r>
      <w:r>
        <w:rPr>
          <w:rFonts w:cs="Calibri"/>
          <w:sz w:val="24"/>
          <w:szCs w:val="24"/>
          <w:lang w:val="es-CO"/>
        </w:rPr>
        <w:t xml:space="preserve">: registros, límites volumétricos, trazabilidad comercial, y acceso simplificado a la formalización (Res. 40103/2017; Res. 623/2020 y 0631/2025–0636/2025; Ley 2250/2022). </w:t>
      </w:r>
    </w:p>
    <w:p w:rsidR="00527B8C" w:rsidRDefault="00212A57" w14:paraId="58BB99BE" w14:textId="77777777">
      <w:pPr>
        <w:pStyle w:val="Prrafodelista"/>
        <w:numPr>
          <w:ilvl w:val="0"/>
          <w:numId w:val="31"/>
        </w:numPr>
        <w:spacing w:after="0" w:line="360" w:lineRule="auto"/>
        <w:ind w:firstLine="304" w:firstLineChars="126"/>
        <w:jc w:val="both"/>
        <w:rPr>
          <w:rFonts w:cs="Calibri"/>
          <w:sz w:val="24"/>
          <w:szCs w:val="24"/>
          <w:lang w:val="es-CO"/>
        </w:rPr>
      </w:pPr>
      <w:r>
        <w:rPr>
          <w:rFonts w:cs="Calibri"/>
          <w:b/>
          <w:bCs/>
          <w:sz w:val="24"/>
          <w:szCs w:val="24"/>
          <w:lang w:val="es-CO"/>
        </w:rPr>
        <w:t>Entidades territoriales (municipios/distritos)</w:t>
      </w:r>
      <w:r>
        <w:rPr>
          <w:rFonts w:cs="Calibri"/>
          <w:sz w:val="24"/>
          <w:szCs w:val="24"/>
          <w:lang w:val="es-CO"/>
        </w:rPr>
        <w:t xml:space="preserve">: ordenamiento del uso del suelo, definición de zonas de exclusión/compatibilidad en POT (Ley 388/1997). </w:t>
      </w:r>
    </w:p>
    <w:p w:rsidR="00527B8C" w:rsidRDefault="00212A57" w14:paraId="3005EAC9" w14:textId="77777777">
      <w:pPr>
        <w:spacing w:after="160" w:line="360" w:lineRule="auto"/>
        <w:ind w:left="720"/>
        <w:jc w:val="both"/>
        <w:rPr>
          <w:rFonts w:cs="Calibri"/>
          <w:sz w:val="24"/>
          <w:szCs w:val="24"/>
          <w:lang w:val="es-CO"/>
        </w:rPr>
      </w:pPr>
      <w:r>
        <w:rPr>
          <w:rFonts w:cs="Calibri"/>
          <w:sz w:val="24"/>
          <w:szCs w:val="24"/>
          <w:lang w:val="es-CO"/>
        </w:rPr>
        <w:t xml:space="preserve"> </w:t>
      </w:r>
    </w:p>
    <w:p w:rsidR="00527B8C" w:rsidRDefault="00212A57" w14:paraId="6E0CF5E9" w14:textId="77777777">
      <w:pPr>
        <w:pStyle w:val="Ttulo4"/>
        <w:keepNext w:val="0"/>
        <w:keepLines w:val="0"/>
        <w:spacing w:before="0" w:line="360" w:lineRule="auto"/>
        <w:jc w:val="both"/>
        <w:rPr>
          <w:sz w:val="24"/>
          <w:szCs w:val="24"/>
          <w:lang w:val="es-CO"/>
        </w:rPr>
      </w:pPr>
      <w:bookmarkStart w:name="_Toc1443864722" w:id="1233589779"/>
      <w:r w:rsidRPr="53DEF7DD" w:rsidR="670101B5">
        <w:rPr>
          <w:sz w:val="24"/>
          <w:szCs w:val="24"/>
          <w:lang w:val="es-CO"/>
        </w:rPr>
        <w:t>2.6.1.4. Vacíos o fisuras regulatorias respecto a la sostenibilidad socio-ecológica</w:t>
      </w:r>
      <w:bookmarkEnd w:id="1233589779"/>
    </w:p>
    <w:p w:rsidR="00527B8C" w:rsidRDefault="00527B8C" w14:paraId="0242E422" w14:textId="77777777">
      <w:pPr>
        <w:spacing w:after="0" w:line="360" w:lineRule="auto"/>
        <w:jc w:val="both"/>
        <w:rPr>
          <w:lang w:val="es-CO"/>
        </w:rPr>
      </w:pPr>
    </w:p>
    <w:p w:rsidR="00527B8C" w:rsidRDefault="00212A57" w14:paraId="5B36A2D3" w14:textId="77777777">
      <w:pPr>
        <w:spacing w:after="160" w:line="360" w:lineRule="auto"/>
        <w:ind w:firstLine="304" w:firstLineChars="126"/>
        <w:jc w:val="both"/>
        <w:rPr>
          <w:rFonts w:cs="Calibri"/>
          <w:b/>
          <w:bCs/>
          <w:sz w:val="24"/>
          <w:szCs w:val="24"/>
          <w:lang w:val="es-CO"/>
        </w:rPr>
      </w:pPr>
      <w:r>
        <w:rPr>
          <w:rFonts w:cs="Calibri"/>
          <w:b/>
          <w:bCs/>
          <w:sz w:val="24"/>
          <w:szCs w:val="24"/>
          <w:lang w:val="es-CO"/>
        </w:rPr>
        <w:t>a) Umbrales de licencia vs. acumulación de impactos</w:t>
      </w:r>
    </w:p>
    <w:p w:rsidR="00527B8C" w:rsidRDefault="00212A57" w14:paraId="5A115484" w14:textId="77777777">
      <w:pPr>
        <w:spacing w:after="160" w:line="360" w:lineRule="auto"/>
        <w:ind w:firstLine="302" w:firstLineChars="126"/>
        <w:jc w:val="both"/>
        <w:rPr>
          <w:rFonts w:cs="Calibri"/>
          <w:sz w:val="24"/>
          <w:szCs w:val="24"/>
          <w:lang w:val="es-CO"/>
        </w:rPr>
      </w:pPr>
      <w:r>
        <w:rPr>
          <w:rFonts w:cs="Calibri"/>
          <w:sz w:val="24"/>
          <w:szCs w:val="24"/>
          <w:lang w:val="es-CO"/>
        </w:rPr>
        <w:t xml:space="preserve">Los umbrales volumétricos del Decreto 1076/2015 pueden dejar intervenciones fragmentadas por debajo del umbral sin licencia, generando impactos acumulativos en tramos de río que no están adecuadamente capturados por evaluación ambiental integral. </w:t>
      </w:r>
    </w:p>
    <w:p w:rsidR="00527B8C" w:rsidRDefault="00212A57" w14:paraId="65E430F4" w14:textId="77777777">
      <w:pPr>
        <w:spacing w:after="160" w:line="360" w:lineRule="auto"/>
        <w:ind w:firstLine="304" w:firstLineChars="126"/>
        <w:jc w:val="both"/>
        <w:rPr>
          <w:rFonts w:cs="Calibri"/>
          <w:b/>
          <w:bCs/>
          <w:sz w:val="24"/>
          <w:szCs w:val="24"/>
          <w:lang w:val="es-CO"/>
        </w:rPr>
      </w:pPr>
      <w:r>
        <w:rPr>
          <w:rFonts w:cs="Calibri"/>
          <w:b/>
          <w:bCs/>
          <w:sz w:val="24"/>
          <w:szCs w:val="24"/>
          <w:lang w:val="es-CO"/>
        </w:rPr>
        <w:t>b) Articulación débil entre POT, POMCA y títulos mineros</w:t>
      </w:r>
    </w:p>
    <w:p w:rsidR="00527B8C" w:rsidRDefault="00212A57" w14:paraId="7E36FB25" w14:textId="77777777">
      <w:pPr>
        <w:spacing w:after="160" w:line="360" w:lineRule="auto"/>
        <w:ind w:firstLine="302" w:firstLineChars="126"/>
        <w:jc w:val="both"/>
        <w:rPr>
          <w:rFonts w:cs="Calibri"/>
          <w:sz w:val="24"/>
          <w:szCs w:val="24"/>
          <w:lang w:val="es-CO"/>
        </w:rPr>
      </w:pPr>
      <w:r>
        <w:rPr>
          <w:rFonts w:cs="Calibri"/>
          <w:sz w:val="24"/>
          <w:szCs w:val="24"/>
          <w:lang w:val="es-CO"/>
        </w:rPr>
        <w:t xml:space="preserve">Aunque la Ley 388 obliga a compatibilizar con POT, la sincronización práctica entre decisiones de la ANM (títulos) y los planes de cuenca (POMCA), así como actualizaciones de ordenamiento, no está plenamente sistematizada, generando conflictos de uso y lagunas de gobernanza. </w:t>
      </w:r>
    </w:p>
    <w:p w:rsidR="00527B8C" w:rsidRDefault="00212A57" w14:paraId="1E4DB9F9" w14:textId="77777777">
      <w:pPr>
        <w:spacing w:after="160" w:line="360" w:lineRule="auto"/>
        <w:ind w:firstLine="304" w:firstLineChars="126"/>
        <w:jc w:val="both"/>
        <w:rPr>
          <w:rFonts w:cs="Calibri"/>
          <w:b/>
          <w:bCs/>
          <w:sz w:val="24"/>
          <w:szCs w:val="24"/>
          <w:lang w:val="es-CO"/>
        </w:rPr>
      </w:pPr>
      <w:r>
        <w:rPr>
          <w:rFonts w:cs="Calibri"/>
          <w:b/>
          <w:bCs/>
          <w:sz w:val="24"/>
          <w:szCs w:val="24"/>
          <w:lang w:val="es-CO"/>
        </w:rPr>
        <w:t>c) Enfoque limitado en conectividad ecológica y sedimentos</w:t>
      </w:r>
    </w:p>
    <w:p w:rsidR="00527B8C" w:rsidRDefault="00212A57" w14:paraId="26E43EEE" w14:textId="77777777">
      <w:pPr>
        <w:spacing w:after="160" w:line="360" w:lineRule="auto"/>
        <w:ind w:firstLine="302" w:firstLineChars="126"/>
        <w:jc w:val="both"/>
        <w:rPr>
          <w:rFonts w:cs="Calibri"/>
          <w:sz w:val="24"/>
          <w:szCs w:val="24"/>
          <w:lang w:val="es-CO"/>
        </w:rPr>
      </w:pPr>
      <w:r w:rsidRPr="544B9055" w:rsidR="00212A57">
        <w:rPr>
          <w:rFonts w:cs="Calibri"/>
          <w:sz w:val="24"/>
          <w:szCs w:val="24"/>
          <w:lang w:val="es-CO"/>
        </w:rPr>
        <w:t xml:space="preserve">Las resoluciones técnicas dan lineamientos, pero faltan estándares específicos de caudal ecológico, transporte de sedimentos y morfodinámica para la extracción en cauces amazónicos de alta sensibilidad, más allá de evaluaciones caso a caso. </w:t>
      </w:r>
    </w:p>
    <w:p w:rsidR="00527B8C" w:rsidRDefault="00212A57" w14:paraId="1D4EF027" w14:textId="77777777">
      <w:pPr>
        <w:spacing w:after="160" w:line="360" w:lineRule="auto"/>
        <w:ind w:firstLine="304" w:firstLineChars="126"/>
        <w:jc w:val="both"/>
        <w:rPr>
          <w:rFonts w:cs="Calibri"/>
          <w:b/>
          <w:bCs/>
          <w:sz w:val="24"/>
          <w:szCs w:val="24"/>
          <w:lang w:val="es-CO"/>
        </w:rPr>
      </w:pPr>
      <w:r>
        <w:rPr>
          <w:rFonts w:cs="Calibri"/>
          <w:b/>
          <w:bCs/>
          <w:sz w:val="24"/>
          <w:szCs w:val="24"/>
          <w:lang w:val="es-CO"/>
        </w:rPr>
        <w:t>d) Participación comunitaria y derechos territoriales</w:t>
      </w:r>
    </w:p>
    <w:p w:rsidR="00527B8C" w:rsidRDefault="00212A57" w14:paraId="785FCAC7" w14:textId="77777777">
      <w:pPr>
        <w:spacing w:after="160" w:line="360" w:lineRule="auto"/>
        <w:ind w:firstLine="302" w:firstLineChars="126"/>
        <w:jc w:val="both"/>
        <w:rPr>
          <w:rFonts w:cs="Calibri"/>
          <w:sz w:val="24"/>
          <w:szCs w:val="24"/>
          <w:lang w:val="es-CO"/>
        </w:rPr>
      </w:pPr>
      <w:r>
        <w:rPr>
          <w:rFonts w:cs="Calibri"/>
          <w:sz w:val="24"/>
          <w:szCs w:val="24"/>
          <w:lang w:val="es-CO"/>
        </w:rPr>
        <w:t xml:space="preserve">El marco regulatorio reconoce monitoreo participativo y territorios indígenas de manera genérica, pero no especifica protocolos interculturales, coordinación con autoridades indígenas y consentimiento libre, previo e informado (CLPI) en detalle para material de arrastre en riberas amazónicas. </w:t>
      </w:r>
    </w:p>
    <w:p w:rsidR="00527B8C" w:rsidRDefault="00212A57" w14:paraId="0DF3207E" w14:textId="77777777">
      <w:pPr>
        <w:spacing w:after="160" w:line="360" w:lineRule="auto"/>
        <w:ind w:firstLine="304" w:firstLineChars="126"/>
        <w:jc w:val="both"/>
        <w:rPr>
          <w:rFonts w:cs="Calibri"/>
          <w:b/>
          <w:bCs/>
          <w:sz w:val="24"/>
          <w:szCs w:val="24"/>
          <w:lang w:val="es-CO"/>
        </w:rPr>
      </w:pPr>
      <w:r>
        <w:rPr>
          <w:rFonts w:cs="Calibri"/>
          <w:b/>
          <w:bCs/>
          <w:sz w:val="24"/>
          <w:szCs w:val="24"/>
          <w:lang w:val="es-CO"/>
        </w:rPr>
        <w:t>e) Control en cadenas de comercialización</w:t>
      </w:r>
    </w:p>
    <w:p w:rsidR="00527B8C" w:rsidRDefault="00212A57" w14:paraId="43324057" w14:textId="77777777">
      <w:pPr>
        <w:spacing w:after="160" w:line="360" w:lineRule="auto"/>
        <w:ind w:firstLine="302" w:firstLineChars="126"/>
        <w:jc w:val="both"/>
        <w:rPr>
          <w:rFonts w:cs="Calibri"/>
          <w:sz w:val="24"/>
          <w:szCs w:val="24"/>
          <w:lang w:val="es-CO"/>
        </w:rPr>
      </w:pPr>
      <w:r>
        <w:rPr>
          <w:rFonts w:cs="Calibri"/>
          <w:sz w:val="24"/>
          <w:szCs w:val="24"/>
          <w:lang w:val="es-CO"/>
        </w:rPr>
        <w:t xml:space="preserve">RUCOM/GÉNESIS fortalecen trazabilidad, pero persiste el riesgo de mezcla de material lícito con ilícito y la opacidad en puntos de acopio/transporte fluvial remoto sin verificación en tiempo real. </w:t>
      </w:r>
    </w:p>
    <w:p w:rsidR="00527B8C" w:rsidRDefault="00527B8C" w14:paraId="2CD7594D" w14:textId="77777777">
      <w:pPr>
        <w:spacing w:after="160" w:line="360" w:lineRule="auto"/>
        <w:jc w:val="both"/>
        <w:rPr>
          <w:rFonts w:cs="Calibri"/>
          <w:sz w:val="24"/>
          <w:szCs w:val="24"/>
          <w:lang w:val="es-CO"/>
        </w:rPr>
      </w:pPr>
    </w:p>
    <w:p w:rsidR="00527B8C" w:rsidRDefault="00212A57" w14:paraId="5C89A28E" w14:textId="77777777">
      <w:pPr>
        <w:pStyle w:val="Ttulo4"/>
        <w:keepNext w:val="0"/>
        <w:keepLines w:val="0"/>
        <w:spacing w:before="0" w:line="360" w:lineRule="auto"/>
        <w:jc w:val="both"/>
        <w:rPr>
          <w:sz w:val="24"/>
          <w:szCs w:val="24"/>
          <w:lang w:val="es-CO"/>
        </w:rPr>
      </w:pPr>
      <w:bookmarkStart w:name="_Toc1033400900" w:id="271546825"/>
      <w:r w:rsidRPr="53DEF7DD" w:rsidR="670101B5">
        <w:rPr>
          <w:sz w:val="24"/>
          <w:szCs w:val="24"/>
          <w:lang w:val="es-CO"/>
        </w:rPr>
        <w:t>2.6.1.5. Requerimientos de arquitectura institucional para el cumplimiento</w:t>
      </w:r>
      <w:bookmarkEnd w:id="271546825"/>
    </w:p>
    <w:p w:rsidR="00527B8C" w:rsidRDefault="00527B8C" w14:paraId="272E1BA5" w14:textId="77777777">
      <w:pPr>
        <w:spacing w:after="0" w:line="360" w:lineRule="auto"/>
        <w:ind w:firstLine="304" w:firstLineChars="126"/>
        <w:jc w:val="both"/>
        <w:rPr>
          <w:rFonts w:cs="Calibri"/>
          <w:b/>
          <w:bCs/>
          <w:sz w:val="24"/>
          <w:szCs w:val="24"/>
          <w:lang w:val="es-CO"/>
        </w:rPr>
      </w:pPr>
    </w:p>
    <w:p w:rsidR="00527B8C" w:rsidRDefault="00212A57" w14:paraId="2EE75EA9" w14:textId="77777777">
      <w:pPr>
        <w:spacing w:after="0" w:line="360" w:lineRule="auto"/>
        <w:ind w:firstLine="304" w:firstLineChars="126"/>
        <w:jc w:val="both"/>
        <w:rPr>
          <w:rFonts w:cs="Calibri"/>
          <w:b/>
          <w:bCs/>
          <w:sz w:val="24"/>
          <w:szCs w:val="24"/>
          <w:lang w:val="es-CO"/>
        </w:rPr>
      </w:pPr>
      <w:r>
        <w:rPr>
          <w:rFonts w:cs="Calibri"/>
          <w:b/>
          <w:bCs/>
          <w:sz w:val="24"/>
          <w:szCs w:val="24"/>
          <w:lang w:val="es-CO"/>
        </w:rPr>
        <w:t>a) Gobernanza multinivel y coordinación intersectorial</w:t>
      </w:r>
    </w:p>
    <w:p w:rsidR="00527B8C" w:rsidRDefault="00212A57" w14:paraId="678603EB" w14:textId="77777777">
      <w:pPr>
        <w:spacing w:after="160" w:line="360" w:lineRule="auto"/>
        <w:ind w:firstLine="304" w:firstLineChars="126"/>
        <w:jc w:val="both"/>
        <w:rPr>
          <w:rFonts w:cs="Calibri"/>
          <w:sz w:val="24"/>
          <w:szCs w:val="24"/>
          <w:lang w:val="es-CO"/>
        </w:rPr>
      </w:pPr>
      <w:r>
        <w:rPr>
          <w:rFonts w:cs="Calibri"/>
          <w:b/>
          <w:bCs/>
          <w:sz w:val="24"/>
          <w:szCs w:val="24"/>
          <w:lang w:val="es-CO"/>
        </w:rPr>
        <w:t>Nodo central</w:t>
      </w:r>
      <w:r>
        <w:rPr>
          <w:rFonts w:cs="Calibri"/>
          <w:sz w:val="24"/>
          <w:szCs w:val="24"/>
          <w:lang w:val="es-CO"/>
        </w:rPr>
        <w:t>: ANLA (licenciamiento y seguimiento de proyectos por umbrales y en cauces).</w:t>
      </w:r>
    </w:p>
    <w:p w:rsidR="00527B8C" w:rsidRDefault="00212A57" w14:paraId="1B512E82" w14:textId="77777777">
      <w:pPr>
        <w:spacing w:after="160" w:line="360" w:lineRule="auto"/>
        <w:ind w:firstLine="304" w:firstLineChars="126"/>
        <w:jc w:val="both"/>
        <w:rPr>
          <w:rFonts w:cs="Calibri"/>
          <w:sz w:val="24"/>
          <w:szCs w:val="24"/>
          <w:lang w:val="es-CO"/>
        </w:rPr>
      </w:pPr>
      <w:r>
        <w:rPr>
          <w:rFonts w:cs="Calibri"/>
          <w:b/>
          <w:bCs/>
          <w:sz w:val="24"/>
          <w:szCs w:val="24"/>
          <w:lang w:val="es-CO"/>
        </w:rPr>
        <w:t>Autoridad minera</w:t>
      </w:r>
      <w:r>
        <w:rPr>
          <w:rFonts w:cs="Calibri"/>
          <w:sz w:val="24"/>
          <w:szCs w:val="24"/>
          <w:lang w:val="es-CO"/>
        </w:rPr>
        <w:t>: ANM/MME (titulación, formalización, RUCOM/GÉNESIS).</w:t>
      </w:r>
    </w:p>
    <w:p w:rsidR="00527B8C" w:rsidRDefault="00212A57" w14:paraId="1471E66E" w14:textId="77777777">
      <w:pPr>
        <w:spacing w:after="160" w:line="360" w:lineRule="auto"/>
        <w:ind w:firstLine="304" w:firstLineChars="126"/>
        <w:jc w:val="both"/>
        <w:rPr>
          <w:rFonts w:cs="Calibri"/>
          <w:sz w:val="24"/>
          <w:szCs w:val="24"/>
          <w:lang w:val="es-CO"/>
        </w:rPr>
      </w:pPr>
      <w:r>
        <w:rPr>
          <w:rFonts w:cs="Calibri"/>
          <w:b/>
          <w:bCs/>
          <w:sz w:val="24"/>
          <w:szCs w:val="24"/>
          <w:lang w:val="es-CO"/>
        </w:rPr>
        <w:t>Ambientales territoriales</w:t>
      </w:r>
      <w:r>
        <w:rPr>
          <w:rFonts w:cs="Calibri"/>
          <w:sz w:val="24"/>
          <w:szCs w:val="24"/>
          <w:lang w:val="es-CO"/>
        </w:rPr>
        <w:t>: CAR y autoridades ambientales en Amazonía (evaluación, control, concesiones de agua).</w:t>
      </w:r>
    </w:p>
    <w:p w:rsidR="00527B8C" w:rsidRDefault="00212A57" w14:paraId="70A1BC16" w14:textId="77777777">
      <w:pPr>
        <w:spacing w:after="160" w:line="360" w:lineRule="auto"/>
        <w:ind w:firstLine="304" w:firstLineChars="126"/>
        <w:jc w:val="both"/>
        <w:rPr>
          <w:rFonts w:cs="Calibri"/>
          <w:sz w:val="24"/>
          <w:szCs w:val="24"/>
          <w:lang w:val="es-CO"/>
        </w:rPr>
      </w:pPr>
      <w:r>
        <w:rPr>
          <w:rFonts w:cs="Calibri"/>
          <w:b/>
          <w:bCs/>
          <w:sz w:val="24"/>
          <w:szCs w:val="24"/>
          <w:lang w:val="es-CO"/>
        </w:rPr>
        <w:t>Territorial</w:t>
      </w:r>
      <w:r>
        <w:rPr>
          <w:rFonts w:cs="Calibri"/>
          <w:sz w:val="24"/>
          <w:szCs w:val="24"/>
          <w:lang w:val="es-CO"/>
        </w:rPr>
        <w:t>: Municipios y departamentos (POT, gestión del riesgo). Se requiere un mecanismo operativo de interoperabilidad de datos (títulos, licencias, permisos de agua, POT/POMCA, áreas protegidas SINAP) con tableros unificados y alertas por cambios de uso y eventos hidrológicos.</w:t>
      </w:r>
    </w:p>
    <w:p w:rsidR="00527B8C" w:rsidRDefault="00212A57" w14:paraId="07B985B1" w14:textId="77777777">
      <w:pPr>
        <w:spacing w:after="160" w:line="360" w:lineRule="auto"/>
        <w:ind w:firstLine="304" w:firstLineChars="126"/>
        <w:jc w:val="both"/>
        <w:rPr>
          <w:rFonts w:cs="Calibri"/>
          <w:b/>
          <w:bCs/>
          <w:sz w:val="24"/>
          <w:szCs w:val="24"/>
          <w:lang w:val="es-CO"/>
        </w:rPr>
      </w:pPr>
      <w:r>
        <w:rPr>
          <w:rFonts w:cs="Calibri"/>
          <w:b/>
          <w:bCs/>
          <w:sz w:val="24"/>
          <w:szCs w:val="24"/>
          <w:lang w:val="es-CO"/>
        </w:rPr>
        <w:t>b) Gestión del riesgo y monitoreo</w:t>
      </w:r>
    </w:p>
    <w:p w:rsidR="00527B8C" w:rsidRDefault="00212A57" w14:paraId="734A87C7" w14:textId="77777777">
      <w:pPr>
        <w:spacing w:after="160" w:line="360" w:lineRule="auto"/>
        <w:ind w:firstLine="302" w:firstLineChars="126"/>
        <w:jc w:val="both"/>
        <w:rPr>
          <w:rFonts w:cs="Calibri"/>
          <w:sz w:val="24"/>
          <w:szCs w:val="24"/>
          <w:lang w:val="es-CO"/>
        </w:rPr>
      </w:pPr>
      <w:r>
        <w:rPr>
          <w:rFonts w:cs="Calibri"/>
          <w:sz w:val="24"/>
          <w:szCs w:val="24"/>
          <w:lang w:val="es-CO"/>
        </w:rPr>
        <w:t xml:space="preserve">Integración de SNGRD (Ley 1523/2012) con ANLA/ANM/CAR/MME para monitoreo hidrológico continuo, modelos de morfohidráulica, y protocolos de cierre y restauración con indicadores verificables. </w:t>
      </w:r>
    </w:p>
    <w:p w:rsidR="00C1168C" w:rsidRDefault="00C1168C" w14:paraId="3651C4DF" w14:textId="77777777">
      <w:pPr>
        <w:spacing w:after="160" w:line="360" w:lineRule="auto"/>
        <w:ind w:firstLine="302" w:firstLineChars="126"/>
        <w:jc w:val="both"/>
        <w:rPr>
          <w:rFonts w:cs="Calibri"/>
          <w:sz w:val="24"/>
          <w:szCs w:val="24"/>
          <w:lang w:val="es-CO"/>
        </w:rPr>
      </w:pPr>
    </w:p>
    <w:p w:rsidR="00527B8C" w:rsidRDefault="00212A57" w14:paraId="0D47CB24" w14:textId="77777777">
      <w:pPr>
        <w:spacing w:after="160" w:line="360" w:lineRule="auto"/>
        <w:ind w:firstLine="304" w:firstLineChars="126"/>
        <w:jc w:val="both"/>
        <w:rPr>
          <w:rFonts w:cs="Calibri"/>
          <w:b/>
          <w:bCs/>
          <w:sz w:val="24"/>
          <w:szCs w:val="24"/>
          <w:lang w:val="es-CO"/>
        </w:rPr>
      </w:pPr>
      <w:r>
        <w:rPr>
          <w:rFonts w:cs="Calibri"/>
          <w:b/>
          <w:bCs/>
          <w:sz w:val="24"/>
          <w:szCs w:val="24"/>
          <w:lang w:val="es-CO"/>
        </w:rPr>
        <w:t>c) Salvaguardas socio-ambientales</w:t>
      </w:r>
    </w:p>
    <w:p w:rsidR="00527B8C" w:rsidRDefault="00212A57" w14:paraId="1648E2A5" w14:textId="77777777">
      <w:pPr>
        <w:spacing w:after="160" w:line="360" w:lineRule="auto"/>
        <w:ind w:firstLine="302" w:firstLineChars="126"/>
        <w:jc w:val="both"/>
        <w:rPr>
          <w:rFonts w:cs="Calibri"/>
          <w:sz w:val="24"/>
          <w:szCs w:val="24"/>
          <w:lang w:val="es-CO"/>
        </w:rPr>
      </w:pPr>
      <w:r>
        <w:rPr>
          <w:rFonts w:cs="Calibri"/>
          <w:sz w:val="24"/>
          <w:szCs w:val="24"/>
          <w:lang w:val="es-CO"/>
        </w:rPr>
        <w:t xml:space="preserve">Protocolos diferenciados para territorios indígenas y comunidades ribereñas: rutas de Consentimiento Libre Previo e Informado - CLPI, participación efectiva en Diagnósticos Ambientales Alternativos - DAA/ Estudios de Impacto Ambiental - EIA/ Planes de Manejo Ambiental - PMA, y veedurías comunitarias con acceso a datos RUCOM/GÉNESIS y licencias. </w:t>
      </w:r>
    </w:p>
    <w:p w:rsidR="00527B8C" w:rsidRDefault="00212A57" w14:paraId="052BA11F" w14:textId="77777777">
      <w:pPr>
        <w:spacing w:after="160" w:line="360" w:lineRule="auto"/>
        <w:ind w:firstLine="304" w:firstLineChars="126"/>
        <w:jc w:val="both"/>
        <w:rPr>
          <w:rFonts w:cs="Calibri"/>
          <w:b/>
          <w:bCs/>
          <w:sz w:val="24"/>
          <w:szCs w:val="24"/>
          <w:lang w:val="es-CO"/>
        </w:rPr>
      </w:pPr>
      <w:r>
        <w:rPr>
          <w:rFonts w:cs="Calibri"/>
          <w:b/>
          <w:bCs/>
          <w:sz w:val="24"/>
          <w:szCs w:val="24"/>
          <w:lang w:val="es-CO"/>
        </w:rPr>
        <w:t>d) Fiscalización y trazabilidad</w:t>
      </w:r>
    </w:p>
    <w:p w:rsidR="00527B8C" w:rsidRDefault="00212A57" w14:paraId="75D0D92E" w14:textId="77777777">
      <w:pPr>
        <w:spacing w:after="160" w:line="360" w:lineRule="auto"/>
        <w:ind w:firstLine="302" w:firstLineChars="126"/>
        <w:jc w:val="both"/>
        <w:rPr>
          <w:rFonts w:cs="Calibri"/>
          <w:sz w:val="24"/>
          <w:szCs w:val="24"/>
          <w:lang w:val="es-CO"/>
        </w:rPr>
      </w:pPr>
      <w:r>
        <w:rPr>
          <w:rFonts w:cs="Calibri"/>
          <w:sz w:val="24"/>
          <w:szCs w:val="24"/>
          <w:lang w:val="es-CO"/>
        </w:rPr>
        <w:t xml:space="preserve">Integración logística entre RUCOM/GÉNESIS y controles de transporte fluvial/terrestre, con sellos digitales de origen, guías de movilización y auditoría en puntos de acopio, evitando triangulación de material. </w:t>
      </w:r>
    </w:p>
    <w:p w:rsidR="00527B8C" w:rsidRDefault="00212A57" w14:paraId="6828BF62" w14:textId="77777777">
      <w:pPr>
        <w:spacing w:after="160" w:line="360" w:lineRule="auto"/>
        <w:ind w:firstLine="304" w:firstLineChars="126"/>
        <w:jc w:val="both"/>
        <w:rPr>
          <w:rFonts w:cs="Calibri"/>
          <w:b/>
          <w:bCs/>
          <w:sz w:val="24"/>
          <w:szCs w:val="24"/>
          <w:lang w:val="es-CO"/>
        </w:rPr>
      </w:pPr>
      <w:r>
        <w:rPr>
          <w:rFonts w:cs="Calibri"/>
          <w:b/>
          <w:bCs/>
          <w:sz w:val="24"/>
          <w:szCs w:val="24"/>
          <w:lang w:val="es-CO"/>
        </w:rPr>
        <w:t xml:space="preserve"> </w:t>
      </w:r>
    </w:p>
    <w:p w:rsidR="00527B8C" w:rsidRDefault="00212A57" w14:paraId="7E42EE3C" w14:textId="77777777">
      <w:pPr>
        <w:pStyle w:val="Ttulo4"/>
        <w:keepNext w:val="0"/>
        <w:keepLines w:val="0"/>
        <w:spacing w:before="0" w:line="360" w:lineRule="auto"/>
        <w:jc w:val="both"/>
        <w:rPr>
          <w:sz w:val="24"/>
          <w:szCs w:val="24"/>
          <w:lang w:val="es-CO"/>
        </w:rPr>
      </w:pPr>
      <w:bookmarkStart w:name="_Toc641264151" w:id="842420744"/>
      <w:r w:rsidRPr="53DEF7DD" w:rsidR="670101B5">
        <w:rPr>
          <w:sz w:val="24"/>
          <w:szCs w:val="24"/>
          <w:lang w:val="es-CO"/>
        </w:rPr>
        <w:t>2.6.1.6. Deficiencias actuales para su aplicación en la región amazónica</w:t>
      </w:r>
      <w:bookmarkEnd w:id="842420744"/>
    </w:p>
    <w:p w:rsidR="00527B8C" w:rsidRDefault="00527B8C" w14:paraId="68BA799E" w14:textId="77777777">
      <w:pPr>
        <w:spacing w:after="0" w:line="360" w:lineRule="auto"/>
        <w:ind w:firstLine="277" w:firstLineChars="126"/>
        <w:jc w:val="both"/>
        <w:rPr>
          <w:lang w:val="es-CO"/>
        </w:rPr>
      </w:pPr>
    </w:p>
    <w:p w:rsidR="00527B8C" w:rsidRDefault="00212A57" w14:paraId="54D88C1F" w14:textId="77777777">
      <w:pPr>
        <w:spacing w:after="160" w:line="360" w:lineRule="auto"/>
        <w:ind w:firstLine="304" w:firstLineChars="126"/>
        <w:jc w:val="both"/>
        <w:rPr>
          <w:rFonts w:cs="Calibri"/>
          <w:b/>
          <w:bCs/>
          <w:sz w:val="24"/>
          <w:szCs w:val="24"/>
          <w:lang w:val="es-CO"/>
        </w:rPr>
      </w:pPr>
      <w:r>
        <w:rPr>
          <w:rFonts w:cs="Calibri"/>
          <w:b/>
          <w:bCs/>
          <w:sz w:val="24"/>
          <w:szCs w:val="24"/>
          <w:lang w:val="es-CO"/>
        </w:rPr>
        <w:t>a) Capacidad institucional y acceso</w:t>
      </w:r>
    </w:p>
    <w:p w:rsidR="00527B8C" w:rsidRDefault="00212A57" w14:paraId="1284666B" w14:textId="77777777">
      <w:pPr>
        <w:spacing w:after="160" w:line="360" w:lineRule="auto"/>
        <w:ind w:firstLine="302" w:firstLineChars="126"/>
        <w:jc w:val="both"/>
        <w:rPr>
          <w:rFonts w:cs="Calibri"/>
          <w:sz w:val="24"/>
          <w:szCs w:val="24"/>
          <w:lang w:val="es-CO"/>
        </w:rPr>
      </w:pPr>
      <w:r>
        <w:rPr>
          <w:rFonts w:cs="Calibri"/>
          <w:sz w:val="24"/>
          <w:szCs w:val="24"/>
          <w:lang w:val="es-CO"/>
        </w:rPr>
        <w:t xml:space="preserve">Brechas de presencia estatal (ANLA/CAR/ANM/MME) en zonas remotas amazónicas dificultan vigilancia, muestreo y seguimiento en tiempo real; el modelo actual depende de estudios y visitas puntuales más que de sensores/telemetría continua. </w:t>
      </w:r>
    </w:p>
    <w:p w:rsidR="00527B8C" w:rsidRDefault="00212A57" w14:paraId="7C59D296" w14:textId="77777777">
      <w:pPr>
        <w:spacing w:after="160" w:line="360" w:lineRule="auto"/>
        <w:ind w:firstLine="304" w:firstLineChars="126"/>
        <w:jc w:val="both"/>
        <w:rPr>
          <w:rFonts w:cs="Calibri"/>
          <w:b/>
          <w:bCs/>
          <w:sz w:val="24"/>
          <w:szCs w:val="24"/>
          <w:lang w:val="es-CO"/>
        </w:rPr>
      </w:pPr>
      <w:r>
        <w:rPr>
          <w:rFonts w:cs="Calibri"/>
          <w:b/>
          <w:bCs/>
          <w:sz w:val="24"/>
          <w:szCs w:val="24"/>
          <w:lang w:val="es-CO"/>
        </w:rPr>
        <w:t>b) Especificidad ecosistémica insuficiente</w:t>
      </w:r>
    </w:p>
    <w:p w:rsidR="00527B8C" w:rsidRDefault="00212A57" w14:paraId="1CF0BBC8" w14:textId="77777777">
      <w:pPr>
        <w:spacing w:after="160" w:line="360" w:lineRule="auto"/>
        <w:ind w:firstLine="302" w:firstLineChars="126"/>
        <w:jc w:val="both"/>
        <w:rPr>
          <w:rFonts w:cs="Calibri"/>
          <w:sz w:val="24"/>
          <w:szCs w:val="24"/>
          <w:lang w:val="es-CO"/>
        </w:rPr>
      </w:pPr>
      <w:r>
        <w:rPr>
          <w:rFonts w:cs="Calibri"/>
          <w:sz w:val="24"/>
          <w:szCs w:val="24"/>
          <w:lang w:val="es-CO"/>
        </w:rPr>
        <w:t>Falta normativa técnica diferenciada para ríos amazónicos de plana pendiente, alta biodiversidad acuática y migración de barras de arena</w:t>
      </w:r>
      <w:r>
        <w:rPr>
          <w:rStyle w:val="Refdenotaalpie"/>
          <w:rFonts w:cs="Calibri"/>
          <w:sz w:val="24"/>
          <w:szCs w:val="24"/>
          <w:lang w:val="es-CO"/>
        </w:rPr>
        <w:footnoteReference w:id="11"/>
      </w:r>
      <w:r>
        <w:rPr>
          <w:rFonts w:cs="Calibri"/>
          <w:sz w:val="24"/>
          <w:szCs w:val="24"/>
          <w:lang w:val="es-CO"/>
        </w:rPr>
        <w:t>, con exigencias claras de caudal ecológico, límites de extracción por tramo y planes de manejo de sedimentos.</w:t>
      </w:r>
    </w:p>
    <w:p w:rsidR="002352AE" w:rsidRDefault="002352AE" w14:paraId="1F2BD93B" w14:textId="77777777">
      <w:pPr>
        <w:spacing w:after="160" w:line="360" w:lineRule="auto"/>
        <w:ind w:firstLine="302" w:firstLineChars="126"/>
        <w:jc w:val="both"/>
        <w:rPr>
          <w:rFonts w:cs="Calibri"/>
          <w:sz w:val="24"/>
          <w:szCs w:val="24"/>
          <w:lang w:val="es-CO"/>
        </w:rPr>
      </w:pPr>
    </w:p>
    <w:p w:rsidR="00C1168C" w:rsidRDefault="00C1168C" w14:paraId="16B0AF41" w14:textId="77777777">
      <w:pPr>
        <w:spacing w:after="160" w:line="360" w:lineRule="auto"/>
        <w:ind w:firstLine="302" w:firstLineChars="126"/>
        <w:jc w:val="both"/>
        <w:rPr>
          <w:rFonts w:cs="Calibri"/>
          <w:sz w:val="24"/>
          <w:szCs w:val="24"/>
          <w:lang w:val="es-CO"/>
        </w:rPr>
      </w:pPr>
    </w:p>
    <w:p w:rsidR="00527B8C" w:rsidRDefault="00212A57" w14:paraId="5A60A1B9" w14:textId="77777777">
      <w:pPr>
        <w:spacing w:after="160" w:line="360" w:lineRule="auto"/>
        <w:ind w:firstLine="304" w:firstLineChars="126"/>
        <w:jc w:val="both"/>
        <w:rPr>
          <w:rFonts w:cs="Calibri"/>
          <w:b/>
          <w:bCs/>
          <w:sz w:val="24"/>
          <w:szCs w:val="24"/>
          <w:lang w:val="es-CO"/>
        </w:rPr>
      </w:pPr>
      <w:r>
        <w:rPr>
          <w:rFonts w:cs="Calibri"/>
          <w:b/>
          <w:bCs/>
          <w:sz w:val="24"/>
          <w:szCs w:val="24"/>
          <w:lang w:val="es-CO"/>
        </w:rPr>
        <w:t>c) Ordenamiento y tenencia</w:t>
      </w:r>
    </w:p>
    <w:p w:rsidR="00527B8C" w:rsidRDefault="00212A57" w14:paraId="48292DA4" w14:textId="77777777">
      <w:pPr>
        <w:spacing w:after="160" w:line="360" w:lineRule="auto"/>
        <w:ind w:firstLine="302" w:firstLineChars="126"/>
        <w:jc w:val="both"/>
        <w:rPr>
          <w:rFonts w:cs="Calibri"/>
          <w:sz w:val="24"/>
          <w:szCs w:val="24"/>
          <w:lang w:val="es-CO"/>
        </w:rPr>
      </w:pPr>
      <w:r>
        <w:rPr>
          <w:rFonts w:cs="Calibri"/>
          <w:sz w:val="24"/>
          <w:szCs w:val="24"/>
          <w:lang w:val="es-CO"/>
        </w:rPr>
        <w:t xml:space="preserve">Superposición de POT, áreas protegidas, y territorios indígenas sin mecanismo vinculante de resolución ante conflictos de uso. </w:t>
      </w:r>
    </w:p>
    <w:p w:rsidR="00527B8C" w:rsidRDefault="00212A57" w14:paraId="6EC8DAF2" w14:textId="77777777">
      <w:pPr>
        <w:spacing w:after="160" w:line="360" w:lineRule="auto"/>
        <w:ind w:firstLine="304" w:firstLineChars="126"/>
        <w:jc w:val="both"/>
        <w:rPr>
          <w:rFonts w:cs="Calibri"/>
          <w:b/>
          <w:bCs/>
          <w:sz w:val="24"/>
          <w:szCs w:val="24"/>
          <w:lang w:val="es-CO"/>
        </w:rPr>
      </w:pPr>
      <w:r>
        <w:rPr>
          <w:rFonts w:cs="Calibri"/>
          <w:b/>
          <w:bCs/>
          <w:sz w:val="24"/>
          <w:szCs w:val="24"/>
          <w:lang w:val="es-CO"/>
        </w:rPr>
        <w:t>d) Cadena de valor y mercados</w:t>
      </w:r>
    </w:p>
    <w:p w:rsidR="00527B8C" w:rsidRDefault="00212A57" w14:paraId="2A84651C" w14:textId="77777777">
      <w:pPr>
        <w:spacing w:after="160" w:line="360" w:lineRule="auto"/>
        <w:ind w:firstLine="302" w:firstLineChars="126"/>
        <w:jc w:val="both"/>
        <w:rPr>
          <w:rFonts w:cs="Calibri"/>
          <w:sz w:val="24"/>
          <w:szCs w:val="24"/>
          <w:lang w:val="es-CO"/>
        </w:rPr>
      </w:pPr>
      <w:r>
        <w:rPr>
          <w:rFonts w:cs="Calibri"/>
          <w:sz w:val="24"/>
          <w:szCs w:val="24"/>
          <w:lang w:val="es-CO"/>
        </w:rPr>
        <w:t xml:space="preserve">Dificultad para controlar extracción itinerante y flujos comerciales dispersos por ríos; vacíos en logística de trazabilidad desde el punto de extracción hasta obras civiles locales, permitiendo blanqueo de material. </w:t>
      </w:r>
    </w:p>
    <w:p w:rsidR="00527B8C" w:rsidRDefault="00212A57" w14:paraId="3427ABEE" w14:textId="77777777">
      <w:pPr>
        <w:spacing w:after="160" w:line="360" w:lineRule="auto"/>
        <w:ind w:firstLine="304" w:firstLineChars="126"/>
        <w:jc w:val="both"/>
        <w:rPr>
          <w:rFonts w:cs="Calibri"/>
          <w:b/>
          <w:bCs/>
          <w:sz w:val="24"/>
          <w:szCs w:val="24"/>
          <w:lang w:val="es-CO"/>
        </w:rPr>
      </w:pPr>
      <w:r>
        <w:rPr>
          <w:rFonts w:cs="Calibri"/>
          <w:b/>
          <w:bCs/>
          <w:sz w:val="24"/>
          <w:szCs w:val="24"/>
          <w:lang w:val="es-CO"/>
        </w:rPr>
        <w:t>e) Participación y salvaguardas</w:t>
      </w:r>
    </w:p>
    <w:p w:rsidR="00527B8C" w:rsidRDefault="00212A57" w14:paraId="70FB8B3F" w14:textId="77777777">
      <w:pPr>
        <w:spacing w:after="160" w:line="360" w:lineRule="auto"/>
        <w:ind w:firstLine="302" w:firstLineChars="126"/>
        <w:jc w:val="both"/>
        <w:rPr>
          <w:rFonts w:cs="Calibri"/>
          <w:sz w:val="24"/>
          <w:szCs w:val="24"/>
          <w:lang w:val="es-CO"/>
        </w:rPr>
      </w:pPr>
      <w:r>
        <w:rPr>
          <w:rFonts w:cs="Calibri"/>
          <w:sz w:val="24"/>
          <w:szCs w:val="24"/>
          <w:lang w:val="es-CO"/>
        </w:rPr>
        <w:t xml:space="preserve">Protocolos de Consentimiento Libre Previo e Informado - CPLI y participación diferenciada no están sistematizados para materiales de arrastre; ausencia de lineamientos operativos para incorporar conocimiento tradicional en Diagnósticos Ambientales Alternativos - DAA/ Estudios de Impacto Ambiental - EIA/ Planes de Manejo Ambiental - PMA, y monitoreo. </w:t>
      </w:r>
    </w:p>
    <w:p w:rsidR="00527B8C" w:rsidRDefault="00212A57" w14:paraId="7D19DC28" w14:textId="77777777">
      <w:pPr>
        <w:spacing w:after="160" w:line="360" w:lineRule="auto"/>
        <w:ind w:firstLine="302" w:firstLineChars="126"/>
        <w:jc w:val="both"/>
        <w:rPr>
          <w:rFonts w:cs="Calibri"/>
          <w:sz w:val="24"/>
          <w:szCs w:val="24"/>
          <w:lang w:val="es-CO"/>
        </w:rPr>
      </w:pPr>
      <w:r>
        <w:rPr>
          <w:rFonts w:cs="Calibri"/>
          <w:sz w:val="24"/>
          <w:szCs w:val="24"/>
          <w:lang w:val="es-CO"/>
        </w:rPr>
        <w:t xml:space="preserve"> </w:t>
      </w:r>
    </w:p>
    <w:p w:rsidR="00527B8C" w:rsidRDefault="00212A57" w14:paraId="641FD680" w14:textId="77777777">
      <w:pPr>
        <w:pStyle w:val="Ttulo4"/>
        <w:keepNext w:val="0"/>
        <w:keepLines w:val="0"/>
        <w:spacing w:before="0" w:line="360" w:lineRule="auto"/>
        <w:jc w:val="both"/>
        <w:rPr>
          <w:sz w:val="24"/>
          <w:szCs w:val="24"/>
          <w:lang w:val="es-CO"/>
        </w:rPr>
      </w:pPr>
      <w:bookmarkStart w:name="_Toc1728106726" w:id="1739436389"/>
      <w:r w:rsidRPr="53DEF7DD" w:rsidR="670101B5">
        <w:rPr>
          <w:sz w:val="24"/>
          <w:szCs w:val="24"/>
          <w:lang w:val="es-CO"/>
        </w:rPr>
        <w:t>2.6.1.7. Recomendaciones prácticas para cerrar brechas (en clave de implementación)</w:t>
      </w:r>
      <w:bookmarkEnd w:id="1739436389"/>
    </w:p>
    <w:p w:rsidR="00527B8C" w:rsidRDefault="00527B8C" w14:paraId="3474E2F6" w14:textId="77777777">
      <w:pPr>
        <w:spacing w:after="0" w:line="360" w:lineRule="auto"/>
        <w:ind w:firstLine="302" w:firstLineChars="126"/>
        <w:jc w:val="both"/>
        <w:rPr>
          <w:sz w:val="24"/>
          <w:szCs w:val="24"/>
          <w:lang w:val="es-CO"/>
        </w:rPr>
      </w:pPr>
    </w:p>
    <w:p w:rsidR="00527B8C" w:rsidRDefault="00212A57" w14:paraId="0333D7E1" w14:textId="77777777">
      <w:pPr>
        <w:pStyle w:val="Prrafodelista"/>
        <w:numPr>
          <w:ilvl w:val="0"/>
          <w:numId w:val="32"/>
        </w:numPr>
        <w:spacing w:after="0" w:line="360" w:lineRule="auto"/>
        <w:ind w:left="360" w:firstLine="304" w:firstLineChars="126"/>
        <w:jc w:val="both"/>
        <w:rPr>
          <w:rFonts w:cs="Calibri"/>
          <w:b/>
          <w:bCs/>
          <w:sz w:val="24"/>
          <w:szCs w:val="24"/>
          <w:lang w:val="es-CO"/>
        </w:rPr>
      </w:pPr>
      <w:r>
        <w:rPr>
          <w:rFonts w:cs="Calibri"/>
          <w:b/>
          <w:bCs/>
          <w:sz w:val="24"/>
          <w:szCs w:val="24"/>
          <w:lang w:val="es-CO"/>
        </w:rPr>
        <w:t>Estándares técnicos amazónicos</w:t>
      </w:r>
    </w:p>
    <w:p w:rsidR="00527B8C" w:rsidRDefault="00212A57" w14:paraId="76ED846A" w14:textId="77777777">
      <w:pPr>
        <w:pStyle w:val="Prrafodelista"/>
        <w:spacing w:after="0" w:line="360" w:lineRule="auto"/>
        <w:ind w:left="0" w:firstLine="302" w:firstLineChars="126"/>
        <w:jc w:val="both"/>
        <w:rPr>
          <w:rFonts w:cs="Calibri"/>
          <w:sz w:val="24"/>
          <w:szCs w:val="24"/>
          <w:lang w:val="es-CO"/>
        </w:rPr>
      </w:pPr>
      <w:r>
        <w:rPr>
          <w:rFonts w:cs="Calibri"/>
          <w:sz w:val="24"/>
          <w:szCs w:val="24"/>
          <w:lang w:val="es-CO"/>
        </w:rPr>
        <w:t xml:space="preserve">Definir límites de extracción por kilómetro de cauce, caudales ecológicos y umbral de movimiento de barras; incorporar modelación morfohidráulica obligatoria en Estudios de Impacto Ambiental EIA/PMA Planes de Manejo Ambiental para proyectos en ríos de planicie. </w:t>
      </w:r>
    </w:p>
    <w:p w:rsidR="00527B8C" w:rsidRDefault="00212A57" w14:paraId="10FDC0C3" w14:textId="77777777">
      <w:pPr>
        <w:pStyle w:val="Prrafodelista"/>
        <w:numPr>
          <w:ilvl w:val="0"/>
          <w:numId w:val="32"/>
        </w:numPr>
        <w:spacing w:after="0" w:line="360" w:lineRule="auto"/>
        <w:ind w:left="360" w:firstLine="304" w:firstLineChars="126"/>
        <w:jc w:val="both"/>
        <w:rPr>
          <w:rFonts w:cs="Calibri"/>
          <w:b/>
          <w:bCs/>
          <w:sz w:val="24"/>
          <w:szCs w:val="24"/>
          <w:lang w:val="es-CO"/>
        </w:rPr>
      </w:pPr>
      <w:r>
        <w:rPr>
          <w:rFonts w:cs="Calibri"/>
          <w:b/>
          <w:bCs/>
          <w:sz w:val="24"/>
          <w:szCs w:val="24"/>
          <w:lang w:val="es-CO"/>
        </w:rPr>
        <w:t>Evaluación de impactos acumulativos</w:t>
      </w:r>
    </w:p>
    <w:p w:rsidR="00527B8C" w:rsidRDefault="00527B8C" w14:paraId="71D8B2C2" w14:textId="77777777">
      <w:pPr>
        <w:spacing w:after="0" w:line="360" w:lineRule="auto"/>
        <w:ind w:firstLine="302" w:firstLineChars="126"/>
        <w:jc w:val="both"/>
        <w:rPr>
          <w:rFonts w:cs="Calibri"/>
          <w:sz w:val="24"/>
          <w:szCs w:val="24"/>
          <w:lang w:val="es-CO"/>
        </w:rPr>
      </w:pPr>
    </w:p>
    <w:p w:rsidR="00527B8C" w:rsidRDefault="00212A57" w14:paraId="214EA5FA" w14:textId="77777777">
      <w:pPr>
        <w:spacing w:after="0" w:line="360" w:lineRule="auto"/>
        <w:ind w:firstLine="302" w:firstLineChars="126"/>
        <w:jc w:val="both"/>
        <w:rPr>
          <w:rFonts w:cs="Calibri"/>
          <w:sz w:val="24"/>
          <w:szCs w:val="24"/>
          <w:lang w:val="es-CO"/>
        </w:rPr>
      </w:pPr>
      <w:r>
        <w:rPr>
          <w:rFonts w:cs="Calibri"/>
          <w:sz w:val="24"/>
          <w:szCs w:val="24"/>
          <w:lang w:val="es-CO"/>
        </w:rPr>
        <w:t xml:space="preserve">Establecer obligación de EIA regional cuando haya múltiples frentes por debajo de umbral en un mismo sistema fluvial, consolidando efectos acumulativos. </w:t>
      </w:r>
    </w:p>
    <w:p w:rsidR="00527B8C" w:rsidRDefault="00212A57" w14:paraId="61423811" w14:textId="77777777">
      <w:pPr>
        <w:pStyle w:val="Prrafodelista"/>
        <w:numPr>
          <w:ilvl w:val="0"/>
          <w:numId w:val="32"/>
        </w:numPr>
        <w:spacing w:after="0" w:line="360" w:lineRule="auto"/>
        <w:ind w:left="360" w:firstLine="304" w:firstLineChars="126"/>
        <w:jc w:val="both"/>
        <w:rPr>
          <w:rFonts w:cs="Calibri"/>
          <w:b/>
          <w:bCs/>
          <w:sz w:val="24"/>
          <w:szCs w:val="24"/>
          <w:lang w:val="es-CO"/>
        </w:rPr>
      </w:pPr>
      <w:r>
        <w:rPr>
          <w:rFonts w:cs="Calibri"/>
          <w:b/>
          <w:bCs/>
          <w:sz w:val="24"/>
          <w:szCs w:val="24"/>
          <w:lang w:val="es-CO"/>
        </w:rPr>
        <w:t>Interoperabilidad regulatoria</w:t>
      </w:r>
    </w:p>
    <w:p w:rsidR="00527B8C" w:rsidRDefault="00212A57" w14:paraId="446DD29F" w14:textId="77777777">
      <w:pPr>
        <w:spacing w:after="0" w:line="360" w:lineRule="auto"/>
        <w:ind w:firstLine="302" w:firstLineChars="126"/>
        <w:jc w:val="both"/>
        <w:rPr>
          <w:rFonts w:cs="Calibri"/>
          <w:sz w:val="24"/>
          <w:szCs w:val="24"/>
          <w:lang w:val="es-CO"/>
        </w:rPr>
      </w:pPr>
      <w:r>
        <w:rPr>
          <w:rFonts w:cs="Calibri"/>
          <w:sz w:val="24"/>
          <w:szCs w:val="24"/>
          <w:lang w:val="es-CO"/>
        </w:rPr>
        <w:t xml:space="preserve">Crear una plataforma integrada ANLA–ANM–CAR–territorios con: títulos/licencias, permisos de agua, capas SINAP, POT/POMCA y alertas hidrometeorológicas; acceso público para veedurías. </w:t>
      </w:r>
    </w:p>
    <w:p w:rsidR="00527B8C" w:rsidRDefault="00527B8C" w14:paraId="4435ED8F" w14:textId="77777777">
      <w:pPr>
        <w:spacing w:after="0" w:line="360" w:lineRule="auto"/>
        <w:ind w:firstLine="302" w:firstLineChars="126"/>
        <w:jc w:val="both"/>
        <w:rPr>
          <w:rFonts w:cs="Calibri"/>
          <w:sz w:val="24"/>
          <w:szCs w:val="24"/>
          <w:lang w:val="es-CO"/>
        </w:rPr>
      </w:pPr>
    </w:p>
    <w:p w:rsidR="00527B8C" w:rsidRDefault="00212A57" w14:paraId="63E771F2" w14:textId="77777777">
      <w:pPr>
        <w:pStyle w:val="Prrafodelista"/>
        <w:numPr>
          <w:ilvl w:val="0"/>
          <w:numId w:val="32"/>
        </w:numPr>
        <w:spacing w:after="0" w:line="360" w:lineRule="auto"/>
        <w:ind w:left="360" w:firstLine="304" w:firstLineChars="126"/>
        <w:jc w:val="both"/>
        <w:rPr>
          <w:rFonts w:cs="Calibri"/>
          <w:b/>
          <w:bCs/>
          <w:sz w:val="24"/>
          <w:szCs w:val="24"/>
          <w:lang w:val="es-CO"/>
        </w:rPr>
      </w:pPr>
      <w:r>
        <w:rPr>
          <w:rFonts w:cs="Calibri"/>
          <w:b/>
          <w:bCs/>
          <w:sz w:val="24"/>
          <w:szCs w:val="24"/>
          <w:lang w:val="es-CO"/>
        </w:rPr>
        <w:t>Trazabilidad reforzada</w:t>
      </w:r>
    </w:p>
    <w:p w:rsidR="00527B8C" w:rsidRDefault="00212A57" w14:paraId="410B3970" w14:textId="77777777">
      <w:pPr>
        <w:spacing w:after="0" w:line="360" w:lineRule="auto"/>
        <w:ind w:firstLine="302" w:firstLineChars="126"/>
        <w:jc w:val="both"/>
        <w:rPr>
          <w:rFonts w:cs="Calibri"/>
          <w:sz w:val="24"/>
          <w:szCs w:val="24"/>
          <w:lang w:val="es-CO"/>
        </w:rPr>
      </w:pPr>
      <w:r>
        <w:rPr>
          <w:rFonts w:cs="Calibri"/>
          <w:sz w:val="24"/>
          <w:szCs w:val="24"/>
          <w:lang w:val="es-CO"/>
        </w:rPr>
        <w:t>Vincular RUCOM/GÉNESIS con guías electrónicas de movilización, GPS/AIS fluvial, códigos QR en puntos de cargue y auditoría aleatoria; sanciones graduadas por mezcla ilícita.</w:t>
      </w:r>
    </w:p>
    <w:p w:rsidR="00527B8C" w:rsidRDefault="00527B8C" w14:paraId="66A7666F" w14:textId="77777777">
      <w:pPr>
        <w:spacing w:after="0" w:line="360" w:lineRule="auto"/>
        <w:ind w:firstLine="302" w:firstLineChars="126"/>
        <w:jc w:val="both"/>
        <w:rPr>
          <w:rFonts w:cs="Calibri"/>
          <w:sz w:val="24"/>
          <w:szCs w:val="24"/>
          <w:lang w:val="es-CO"/>
        </w:rPr>
      </w:pPr>
    </w:p>
    <w:p w:rsidR="00527B8C" w:rsidRDefault="00212A57" w14:paraId="3F11ADFB" w14:textId="77777777">
      <w:pPr>
        <w:pStyle w:val="Prrafodelista"/>
        <w:numPr>
          <w:ilvl w:val="0"/>
          <w:numId w:val="32"/>
        </w:numPr>
        <w:spacing w:after="0" w:line="360" w:lineRule="auto"/>
        <w:ind w:left="360" w:firstLine="304" w:firstLineChars="126"/>
        <w:jc w:val="both"/>
        <w:rPr>
          <w:rFonts w:cs="Calibri"/>
          <w:b/>
          <w:bCs/>
          <w:sz w:val="24"/>
          <w:szCs w:val="24"/>
          <w:lang w:val="es-CO"/>
        </w:rPr>
      </w:pPr>
      <w:r>
        <w:rPr>
          <w:rFonts w:cs="Calibri"/>
          <w:b/>
          <w:bCs/>
          <w:sz w:val="24"/>
          <w:szCs w:val="24"/>
          <w:lang w:val="es-CO"/>
        </w:rPr>
        <w:t>Salvaguardas socioculturales</w:t>
      </w:r>
    </w:p>
    <w:p w:rsidR="00527B8C" w:rsidRDefault="00212A57" w14:paraId="244C411D" w14:textId="77777777">
      <w:pPr>
        <w:spacing w:after="0" w:line="360" w:lineRule="auto"/>
        <w:ind w:firstLine="302" w:firstLineChars="126"/>
        <w:jc w:val="both"/>
        <w:rPr>
          <w:rFonts w:cs="Calibri"/>
          <w:sz w:val="24"/>
          <w:szCs w:val="24"/>
          <w:lang w:val="es-CO"/>
        </w:rPr>
      </w:pPr>
      <w:r>
        <w:rPr>
          <w:rFonts w:cs="Calibri"/>
          <w:sz w:val="24"/>
          <w:szCs w:val="24"/>
          <w:lang w:val="es-CO"/>
        </w:rPr>
        <w:t>Protocolos de Consentimiento Libre Previo e Informado - CLPI específicos para material de arrastre; acuerdos de uso con cabildos/autoridades indígenas; monitoreo participativo con capacitación y contratos de guardería ambiental</w:t>
      </w:r>
      <w:r>
        <w:rPr>
          <w:rStyle w:val="Refdenotaalpie"/>
          <w:rFonts w:cs="Calibri"/>
          <w:sz w:val="24"/>
          <w:szCs w:val="24"/>
          <w:lang w:val="es-CO"/>
        </w:rPr>
        <w:footnoteReference w:id="12"/>
      </w:r>
      <w:r>
        <w:rPr>
          <w:rFonts w:cs="Calibri"/>
          <w:sz w:val="24"/>
          <w:szCs w:val="24"/>
          <w:lang w:val="es-CO"/>
        </w:rPr>
        <w:t xml:space="preserve">. </w:t>
      </w:r>
    </w:p>
    <w:p w:rsidR="00527B8C" w:rsidRDefault="00527B8C" w14:paraId="1C6AC197" w14:textId="77777777">
      <w:pPr>
        <w:spacing w:after="0" w:line="360" w:lineRule="auto"/>
        <w:ind w:firstLine="302" w:firstLineChars="126"/>
        <w:jc w:val="both"/>
        <w:rPr>
          <w:rFonts w:cs="Calibri"/>
          <w:sz w:val="24"/>
          <w:szCs w:val="24"/>
          <w:lang w:val="es-CO"/>
        </w:rPr>
      </w:pPr>
    </w:p>
    <w:p w:rsidR="00527B8C" w:rsidRDefault="00212A57" w14:paraId="46917F58" w14:textId="77777777">
      <w:pPr>
        <w:pStyle w:val="Prrafodelista"/>
        <w:numPr>
          <w:ilvl w:val="0"/>
          <w:numId w:val="32"/>
        </w:numPr>
        <w:spacing w:after="0" w:line="360" w:lineRule="auto"/>
        <w:ind w:left="360" w:firstLine="304" w:firstLineChars="126"/>
        <w:jc w:val="both"/>
        <w:rPr>
          <w:rFonts w:cs="Calibri"/>
          <w:b/>
          <w:bCs/>
          <w:sz w:val="24"/>
          <w:szCs w:val="24"/>
          <w:lang w:val="es-CO"/>
        </w:rPr>
      </w:pPr>
      <w:r>
        <w:rPr>
          <w:rFonts w:cs="Calibri"/>
          <w:b/>
          <w:bCs/>
          <w:sz w:val="24"/>
          <w:szCs w:val="24"/>
          <w:lang w:val="es-CO"/>
        </w:rPr>
        <w:t>Capacidades y financiamiento</w:t>
      </w:r>
    </w:p>
    <w:p w:rsidR="00527B8C" w:rsidRDefault="00212A57" w14:paraId="56CF235E" w14:textId="77777777">
      <w:pPr>
        <w:spacing w:after="0" w:line="360" w:lineRule="auto"/>
        <w:ind w:firstLine="302" w:firstLineChars="126"/>
        <w:jc w:val="both"/>
        <w:rPr>
          <w:rFonts w:cs="Calibri"/>
          <w:sz w:val="24"/>
          <w:szCs w:val="24"/>
          <w:lang w:val="es-CO"/>
        </w:rPr>
      </w:pPr>
      <w:r>
        <w:rPr>
          <w:rFonts w:cs="Calibri"/>
          <w:sz w:val="24"/>
          <w:szCs w:val="24"/>
          <w:lang w:val="es-CO"/>
        </w:rPr>
        <w:t xml:space="preserve">Fortalecer oficinas regionales con equipos para muestreo, batimetría y sensores de turbidez/caudal; financiación vía Pago por Servicios Ambientales - PSA (Decreto 953/2013) y compensaciones de Plan de Manejo Ambiental - PMA orientadas a restauración fluvial. </w:t>
      </w:r>
    </w:p>
    <w:p w:rsidR="00527B8C" w:rsidRDefault="00527B8C" w14:paraId="638CA32A" w14:textId="77777777">
      <w:pPr>
        <w:spacing w:after="0" w:line="360" w:lineRule="auto"/>
        <w:ind w:firstLine="302" w:firstLineChars="126"/>
        <w:jc w:val="both"/>
        <w:rPr>
          <w:rFonts w:cs="Calibri"/>
          <w:sz w:val="24"/>
          <w:szCs w:val="24"/>
          <w:lang w:val="es-CO"/>
        </w:rPr>
      </w:pPr>
    </w:p>
    <w:p w:rsidR="00C1168C" w:rsidRDefault="00C1168C" w14:paraId="195FBE3D" w14:textId="77777777">
      <w:pPr>
        <w:spacing w:after="0" w:line="360" w:lineRule="auto"/>
        <w:ind w:firstLine="302" w:firstLineChars="126"/>
        <w:jc w:val="both"/>
        <w:rPr>
          <w:rFonts w:cs="Calibri"/>
          <w:sz w:val="24"/>
          <w:szCs w:val="24"/>
          <w:lang w:val="es-CO"/>
        </w:rPr>
      </w:pPr>
    </w:p>
    <w:p w:rsidR="00C1168C" w:rsidRDefault="00C1168C" w14:paraId="0E453E52" w14:textId="77777777">
      <w:pPr>
        <w:spacing w:after="0" w:line="360" w:lineRule="auto"/>
        <w:ind w:firstLine="302" w:firstLineChars="126"/>
        <w:jc w:val="both"/>
        <w:rPr>
          <w:rFonts w:cs="Calibri"/>
          <w:sz w:val="24"/>
          <w:szCs w:val="24"/>
          <w:lang w:val="es-CO"/>
        </w:rPr>
      </w:pPr>
    </w:p>
    <w:p w:rsidR="00C1168C" w:rsidRDefault="00C1168C" w14:paraId="3054A898" w14:textId="77777777">
      <w:pPr>
        <w:spacing w:after="0" w:line="360" w:lineRule="auto"/>
        <w:ind w:firstLine="302" w:firstLineChars="126"/>
        <w:jc w:val="both"/>
        <w:rPr>
          <w:rFonts w:cs="Calibri"/>
          <w:sz w:val="24"/>
          <w:szCs w:val="24"/>
          <w:lang w:val="es-CO"/>
        </w:rPr>
      </w:pPr>
    </w:p>
    <w:p w:rsidR="00C1168C" w:rsidRDefault="00C1168C" w14:paraId="6A0AC663" w14:textId="77777777">
      <w:pPr>
        <w:spacing w:after="0" w:line="360" w:lineRule="auto"/>
        <w:ind w:firstLine="302" w:firstLineChars="126"/>
        <w:jc w:val="both"/>
        <w:rPr>
          <w:rFonts w:cs="Calibri"/>
          <w:sz w:val="24"/>
          <w:szCs w:val="24"/>
          <w:lang w:val="es-CO"/>
        </w:rPr>
      </w:pPr>
    </w:p>
    <w:p w:rsidR="00C1168C" w:rsidRDefault="00C1168C" w14:paraId="32FB2E0B" w14:textId="77777777">
      <w:pPr>
        <w:spacing w:after="0" w:line="360" w:lineRule="auto"/>
        <w:ind w:firstLine="302" w:firstLineChars="126"/>
        <w:jc w:val="both"/>
        <w:rPr>
          <w:rFonts w:cs="Calibri"/>
          <w:sz w:val="24"/>
          <w:szCs w:val="24"/>
          <w:lang w:val="es-CO"/>
        </w:rPr>
      </w:pPr>
    </w:p>
    <w:p w:rsidR="00C1168C" w:rsidRDefault="00C1168C" w14:paraId="3513CE14" w14:textId="77777777">
      <w:pPr>
        <w:spacing w:after="0" w:line="360" w:lineRule="auto"/>
        <w:ind w:firstLine="302" w:firstLineChars="126"/>
        <w:jc w:val="both"/>
        <w:rPr>
          <w:rFonts w:cs="Calibri"/>
          <w:sz w:val="24"/>
          <w:szCs w:val="24"/>
          <w:lang w:val="es-CO"/>
        </w:rPr>
      </w:pPr>
    </w:p>
    <w:p w:rsidR="00C1168C" w:rsidRDefault="00C1168C" w14:paraId="3E7150DB" w14:textId="77777777">
      <w:pPr>
        <w:spacing w:after="0" w:line="360" w:lineRule="auto"/>
        <w:ind w:firstLine="302" w:firstLineChars="126"/>
        <w:jc w:val="both"/>
        <w:rPr>
          <w:rFonts w:cs="Calibri"/>
          <w:sz w:val="24"/>
          <w:szCs w:val="24"/>
          <w:lang w:val="es-CO"/>
        </w:rPr>
      </w:pPr>
    </w:p>
    <w:p w:rsidR="00C1168C" w:rsidRDefault="00C1168C" w14:paraId="3E2B126B" w14:textId="77777777">
      <w:pPr>
        <w:spacing w:after="0" w:line="360" w:lineRule="auto"/>
        <w:ind w:firstLine="302" w:firstLineChars="126"/>
        <w:jc w:val="both"/>
        <w:rPr>
          <w:rFonts w:cs="Calibri"/>
          <w:sz w:val="24"/>
          <w:szCs w:val="24"/>
          <w:lang w:val="es-CO"/>
        </w:rPr>
      </w:pPr>
    </w:p>
    <w:p w:rsidR="00C1168C" w:rsidRDefault="00C1168C" w14:paraId="21886D30" w14:textId="77777777">
      <w:pPr>
        <w:spacing w:after="0" w:line="360" w:lineRule="auto"/>
        <w:ind w:firstLine="302" w:firstLineChars="126"/>
        <w:jc w:val="both"/>
        <w:rPr>
          <w:rFonts w:cs="Calibri"/>
          <w:sz w:val="24"/>
          <w:szCs w:val="24"/>
          <w:lang w:val="es-CO"/>
        </w:rPr>
      </w:pPr>
    </w:p>
    <w:p w:rsidR="00C1168C" w:rsidRDefault="00C1168C" w14:paraId="7C15E43F" w14:textId="77777777">
      <w:pPr>
        <w:spacing w:after="0" w:line="360" w:lineRule="auto"/>
        <w:ind w:firstLine="302" w:firstLineChars="126"/>
        <w:jc w:val="both"/>
        <w:rPr>
          <w:rFonts w:cs="Calibri"/>
          <w:sz w:val="24"/>
          <w:szCs w:val="24"/>
          <w:lang w:val="es-CO"/>
        </w:rPr>
      </w:pPr>
    </w:p>
    <w:p w:rsidR="00C1168C" w:rsidRDefault="00C1168C" w14:paraId="0089C015" w14:textId="77777777">
      <w:pPr>
        <w:spacing w:after="0" w:line="360" w:lineRule="auto"/>
        <w:ind w:firstLine="302" w:firstLineChars="126"/>
        <w:jc w:val="both"/>
        <w:rPr>
          <w:rFonts w:cs="Calibri"/>
          <w:sz w:val="24"/>
          <w:szCs w:val="24"/>
          <w:lang w:val="es-CO"/>
        </w:rPr>
      </w:pPr>
    </w:p>
    <w:p w:rsidR="00527B8C" w:rsidRDefault="00212A57" w14:paraId="255C702E" w14:textId="77777777">
      <w:pPr>
        <w:pStyle w:val="Ttulo1"/>
        <w:spacing w:before="0" w:line="360" w:lineRule="auto"/>
        <w:jc w:val="both"/>
        <w:rPr>
          <w:rFonts w:ascii="Calibri" w:hAnsi="Calibri" w:eastAsia="Calibri" w:cs="Calibri"/>
          <w:sz w:val="24"/>
          <w:szCs w:val="24"/>
          <w:lang w:val="es-CO"/>
        </w:rPr>
      </w:pPr>
      <w:bookmarkStart w:name="_Toc56475400" w:id="996813503"/>
      <w:r w:rsidRPr="53DEF7DD" w:rsidR="670101B5">
        <w:rPr>
          <w:rFonts w:ascii="Calibri" w:hAnsi="Calibri" w:eastAsia="Calibri" w:cs="Calibri"/>
          <w:sz w:val="24"/>
          <w:szCs w:val="24"/>
          <w:lang w:val="es-CO"/>
        </w:rPr>
        <w:t>3. Contexto Nacional</w:t>
      </w:r>
      <w:bookmarkEnd w:id="996813503"/>
    </w:p>
    <w:p w:rsidR="00527B8C" w:rsidRDefault="00527B8C" w14:paraId="66485A18" w14:textId="77777777">
      <w:pPr>
        <w:spacing w:line="360" w:lineRule="auto"/>
        <w:jc w:val="both"/>
        <w:rPr>
          <w:rFonts w:cs="Calibri"/>
          <w:sz w:val="24"/>
          <w:szCs w:val="24"/>
          <w:lang w:val="es-CO"/>
        </w:rPr>
      </w:pPr>
    </w:p>
    <w:p w:rsidR="00527B8C" w:rsidRDefault="00212A57" w14:paraId="00B52C34" w14:textId="77777777">
      <w:pPr>
        <w:spacing w:after="0" w:line="360" w:lineRule="auto"/>
        <w:ind w:firstLine="302" w:firstLineChars="126"/>
        <w:jc w:val="both"/>
        <w:rPr>
          <w:rFonts w:cs="Calibri"/>
          <w:sz w:val="24"/>
          <w:szCs w:val="24"/>
          <w:lang w:val="es-CO"/>
        </w:rPr>
      </w:pPr>
      <w:r>
        <w:rPr>
          <w:rFonts w:cs="Calibri"/>
          <w:sz w:val="24"/>
          <w:szCs w:val="24"/>
          <w:lang w:val="es-CO"/>
        </w:rPr>
        <w:t>La minería de materiales de construcción incluye arenas, gravas, recebos, arcillas y calizas, insumos críticos para la edificación y las obras civiles. En 2T de 2025, según el DANE, el valor agregado del sector construcción disminuyó 3,5% anual, explicado por la caída de edificaciones (-9,7%), mientras que las obras civiles crecieron 9,6% y las actividades especializadas se contrajeron 3,9%.</w:t>
      </w:r>
    </w:p>
    <w:p w:rsidR="00527B8C" w:rsidP="002352AE" w:rsidRDefault="00212A57" w14:paraId="0B4BFDED" w14:textId="10702F84">
      <w:pPr>
        <w:pStyle w:val="Descripcin"/>
        <w:spacing w:after="0" w:line="360" w:lineRule="auto"/>
        <w:jc w:val="center"/>
        <w:rPr>
          <w:rFonts w:cs="Calibri"/>
          <w:sz w:val="24"/>
          <w:szCs w:val="24"/>
          <w:lang w:val="es-CO"/>
        </w:rPr>
      </w:pPr>
      <w:bookmarkStart w:name="_Toc216558745" w:id="24"/>
      <w:r>
        <w:rPr>
          <w:sz w:val="24"/>
          <w:szCs w:val="24"/>
        </w:rPr>
        <w:t xml:space="preserve">Tabla </w:t>
      </w:r>
      <w:r>
        <w:rPr>
          <w:sz w:val="24"/>
          <w:szCs w:val="24"/>
        </w:rPr>
        <w:fldChar w:fldCharType="begin"/>
      </w:r>
      <w:r>
        <w:rPr>
          <w:sz w:val="24"/>
          <w:szCs w:val="24"/>
        </w:rPr>
        <w:instrText xml:space="preserve"> SEQ Tabla \* ARABIC </w:instrText>
      </w:r>
      <w:r>
        <w:rPr>
          <w:sz w:val="24"/>
          <w:szCs w:val="24"/>
        </w:rPr>
        <w:fldChar w:fldCharType="separate"/>
      </w:r>
      <w:r w:rsidR="00EE79CE">
        <w:rPr>
          <w:noProof/>
          <w:sz w:val="24"/>
          <w:szCs w:val="24"/>
        </w:rPr>
        <w:t>1</w:t>
      </w:r>
      <w:r>
        <w:rPr>
          <w:sz w:val="24"/>
          <w:szCs w:val="24"/>
        </w:rPr>
        <w:fldChar w:fldCharType="end"/>
      </w:r>
      <w:r>
        <w:rPr>
          <w:sz w:val="24"/>
          <w:szCs w:val="24"/>
        </w:rPr>
        <w:t xml:space="preserve"> Variación anual del sector construcción (2T 2025)</w:t>
      </w:r>
      <w:bookmarkEnd w:id="24"/>
    </w:p>
    <w:p w:rsidR="00527B8C" w:rsidRDefault="00212A57" w14:paraId="7D5920B8" w14:textId="77777777">
      <w:pPr>
        <w:spacing w:after="0" w:line="360" w:lineRule="auto"/>
        <w:jc w:val="both"/>
        <w:rPr>
          <w:rFonts w:cs="Calibri"/>
          <w:sz w:val="24"/>
          <w:szCs w:val="24"/>
        </w:rPr>
      </w:pPr>
      <w:r>
        <w:rPr>
          <w:noProof/>
        </w:rPr>
        <w:drawing>
          <wp:inline distT="0" distB="0" distL="0" distR="0" wp14:anchorId="39D46EB4" wp14:editId="25A7C676">
            <wp:extent cx="5302885" cy="3336290"/>
            <wp:effectExtent l="38100" t="38100" r="31115" b="35560"/>
            <wp:docPr id="21010347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034726" name="Picture 1"/>
                    <pic:cNvPicPr>
                      <a:picLocks noChangeAspect="1"/>
                    </pic:cNvPicPr>
                  </pic:nvPicPr>
                  <pic:blipFill>
                    <a:blip r:embed="rId13"/>
                    <a:srcRect t="2924" b="2707"/>
                    <a:stretch>
                      <a:fillRect/>
                    </a:stretch>
                  </pic:blipFill>
                  <pic:spPr>
                    <a:xfrm>
                      <a:off x="0" y="0"/>
                      <a:ext cx="5303520" cy="3336559"/>
                    </a:xfrm>
                    <a:prstGeom prst="rect">
                      <a:avLst/>
                    </a:prstGeom>
                    <a:ln w="38100" cap="flat" cmpd="sng" algn="ctr">
                      <a:solidFill>
                        <a:sysClr val="window" lastClr="FFFFFF"/>
                      </a:solidFill>
                      <a:prstDash val="solid"/>
                      <a:round/>
                      <a:headEnd type="none" w="med" len="med"/>
                      <a:tailEnd type="none" w="med" len="med"/>
                    </a:ln>
                  </pic:spPr>
                </pic:pic>
              </a:graphicData>
            </a:graphic>
          </wp:inline>
        </w:drawing>
      </w:r>
    </w:p>
    <w:p w:rsidR="00527B8C" w:rsidRDefault="00212A57" w14:paraId="5F4938D0" w14:textId="77777777">
      <w:pPr>
        <w:spacing w:after="0" w:line="360" w:lineRule="auto"/>
        <w:jc w:val="both"/>
        <w:rPr>
          <w:rFonts w:cs="Calibri"/>
          <w:sz w:val="24"/>
          <w:szCs w:val="24"/>
          <w:lang w:val="es-CO"/>
        </w:rPr>
      </w:pPr>
      <w:r>
        <w:rPr>
          <w:rFonts w:cs="Calibri"/>
          <w:i/>
          <w:iCs/>
          <w:sz w:val="20"/>
          <w:szCs w:val="20"/>
          <w:lang w:val="es-CO"/>
        </w:rPr>
        <w:t>Fuente: DANE, Indicadores Económicos Alrededor de la Construcción (publicado 9 de septiembre de 2025).</w:t>
      </w:r>
    </w:p>
    <w:p w:rsidR="00527B8C" w:rsidRDefault="00527B8C" w14:paraId="17157B13" w14:textId="77777777">
      <w:pPr>
        <w:pStyle w:val="Ttulo2"/>
        <w:spacing w:before="0" w:line="360" w:lineRule="auto"/>
        <w:jc w:val="both"/>
        <w:rPr>
          <w:rFonts w:ascii="Calibri" w:hAnsi="Calibri" w:eastAsia="Calibri" w:cs="Calibri"/>
          <w:sz w:val="24"/>
          <w:szCs w:val="24"/>
          <w:lang w:val="es-CO"/>
        </w:rPr>
      </w:pPr>
    </w:p>
    <w:p w:rsidR="00527B8C" w:rsidRDefault="00212A57" w14:paraId="2E1F56E1" w14:textId="77777777">
      <w:pPr>
        <w:pStyle w:val="Ttulo2"/>
        <w:spacing w:before="0" w:line="360" w:lineRule="auto"/>
        <w:jc w:val="both"/>
        <w:rPr>
          <w:rFonts w:ascii="Calibri" w:hAnsi="Calibri" w:eastAsia="Calibri" w:cs="Calibri"/>
          <w:sz w:val="24"/>
          <w:szCs w:val="24"/>
          <w:lang w:val="es-CO"/>
        </w:rPr>
      </w:pPr>
      <w:bookmarkStart w:name="_Toc1258663910" w:id="1318717310"/>
      <w:r w:rsidRPr="53DEF7DD" w:rsidR="670101B5">
        <w:rPr>
          <w:rFonts w:ascii="Calibri" w:hAnsi="Calibri" w:eastAsia="Calibri" w:cs="Calibri"/>
          <w:sz w:val="24"/>
          <w:szCs w:val="24"/>
          <w:lang w:val="es-CO"/>
        </w:rPr>
        <w:t>3.1. Principales Sitios de Extracción en Colombia</w:t>
      </w:r>
      <w:bookmarkEnd w:id="1318717310"/>
    </w:p>
    <w:p w:rsidR="00527B8C" w:rsidRDefault="00527B8C" w14:paraId="0354BA74" w14:textId="77777777">
      <w:pPr>
        <w:spacing w:after="0" w:line="360" w:lineRule="auto"/>
        <w:jc w:val="both"/>
        <w:rPr>
          <w:rFonts w:cs="Calibri"/>
          <w:sz w:val="24"/>
          <w:szCs w:val="24"/>
          <w:lang w:val="es-CO"/>
        </w:rPr>
      </w:pPr>
    </w:p>
    <w:p w:rsidR="00527B8C" w:rsidRDefault="00212A57" w14:paraId="648196E8" w14:textId="77777777">
      <w:pPr>
        <w:spacing w:after="0" w:line="360" w:lineRule="auto"/>
        <w:ind w:firstLine="302" w:firstLineChars="126"/>
        <w:jc w:val="both"/>
        <w:rPr>
          <w:rFonts w:cs="Calibri"/>
          <w:sz w:val="24"/>
          <w:szCs w:val="24"/>
          <w:lang w:val="es-CO"/>
        </w:rPr>
      </w:pPr>
      <w:r>
        <w:rPr>
          <w:rFonts w:cs="Calibri"/>
          <w:sz w:val="24"/>
          <w:szCs w:val="24"/>
          <w:lang w:val="es-CO"/>
        </w:rPr>
        <w:t>La explotación se concentra en cuencas hidrográficas con alta dinámica sedimentaria:</w:t>
      </w:r>
    </w:p>
    <w:p w:rsidR="00527B8C" w:rsidRDefault="00527B8C" w14:paraId="5A8726E9" w14:textId="77777777">
      <w:pPr>
        <w:spacing w:after="0" w:line="360" w:lineRule="auto"/>
        <w:ind w:firstLine="302" w:firstLineChars="126"/>
        <w:jc w:val="both"/>
        <w:rPr>
          <w:rFonts w:cs="Calibri"/>
          <w:sz w:val="24"/>
          <w:szCs w:val="24"/>
          <w:lang w:val="es-CO"/>
        </w:rPr>
      </w:pPr>
    </w:p>
    <w:p w:rsidR="00527B8C" w:rsidRDefault="00212A57" w14:paraId="0DECA751" w14:textId="77777777">
      <w:pPr>
        <w:numPr>
          <w:ilvl w:val="0"/>
          <w:numId w:val="33"/>
        </w:numPr>
        <w:spacing w:after="0" w:line="360" w:lineRule="auto"/>
        <w:ind w:firstLine="304" w:firstLineChars="126"/>
        <w:jc w:val="both"/>
        <w:rPr>
          <w:rFonts w:cs="Calibri"/>
          <w:sz w:val="24"/>
          <w:szCs w:val="24"/>
          <w:lang w:val="es-CO"/>
        </w:rPr>
      </w:pPr>
      <w:r>
        <w:rPr>
          <w:rFonts w:cs="Calibri"/>
          <w:b/>
          <w:bCs/>
          <w:sz w:val="24"/>
          <w:szCs w:val="24"/>
          <w:lang w:val="es-CO"/>
        </w:rPr>
        <w:t>Tolima (Río Saldaña)</w:t>
      </w:r>
      <w:r>
        <w:rPr>
          <w:rFonts w:cs="Calibri"/>
          <w:sz w:val="24"/>
          <w:szCs w:val="24"/>
          <w:lang w:val="es-CO"/>
        </w:rPr>
        <w:t>: Proyecto de Holcim S.A. en vereda Palmar Trincadero, área de 40 ha, con licencia ambiental en trámite ante ANLA.</w:t>
      </w:r>
      <w:r>
        <w:rPr>
          <w:rStyle w:val="Refdenotaalpie"/>
          <w:rFonts w:cs="Calibri"/>
          <w:sz w:val="24"/>
          <w:szCs w:val="24"/>
          <w:lang w:val="es-CO"/>
        </w:rPr>
        <w:footnoteReference w:id="13"/>
      </w:r>
      <w:r>
        <w:rPr>
          <w:rFonts w:cs="Calibri"/>
          <w:sz w:val="24"/>
          <w:szCs w:val="24"/>
          <w:lang w:val="es-CO"/>
        </w:rPr>
        <w:t xml:space="preserve"> </w:t>
      </w:r>
    </w:p>
    <w:p w:rsidR="00527B8C" w:rsidRDefault="00212A57" w14:paraId="4ADB8CC4" w14:textId="77777777">
      <w:pPr>
        <w:numPr>
          <w:ilvl w:val="0"/>
          <w:numId w:val="33"/>
        </w:numPr>
        <w:spacing w:after="0" w:line="360" w:lineRule="auto"/>
        <w:ind w:firstLine="304" w:firstLineChars="126"/>
        <w:jc w:val="both"/>
        <w:rPr>
          <w:rFonts w:cs="Calibri"/>
          <w:sz w:val="24"/>
          <w:szCs w:val="24"/>
          <w:lang w:val="es-CO"/>
        </w:rPr>
      </w:pPr>
      <w:r>
        <w:rPr>
          <w:rFonts w:cs="Calibri"/>
          <w:b/>
          <w:bCs/>
          <w:sz w:val="24"/>
          <w:szCs w:val="24"/>
          <w:lang w:val="es-CO"/>
        </w:rPr>
        <w:t>Valle del Cauca y Quindío (Río La Vieja y tributarios)</w:t>
      </w:r>
      <w:r>
        <w:rPr>
          <w:rFonts w:cs="Calibri"/>
          <w:sz w:val="24"/>
          <w:szCs w:val="24"/>
          <w:lang w:val="es-CO"/>
        </w:rPr>
        <w:t>: Sitios identificados para reconstrucción del Eje Cafetero tras el sismo de 1999; incluye ríos Barragán, Lejos, Verde y Quindío.</w:t>
      </w:r>
      <w:r>
        <w:rPr>
          <w:rStyle w:val="Refdenotaalpie"/>
          <w:rFonts w:cs="Calibri"/>
          <w:sz w:val="24"/>
          <w:szCs w:val="24"/>
          <w:lang w:val="es-CO"/>
        </w:rPr>
        <w:footnoteReference w:id="14"/>
      </w:r>
    </w:p>
    <w:p w:rsidR="00527B8C" w:rsidRDefault="00212A57" w14:paraId="63B419D6" w14:textId="77777777">
      <w:pPr>
        <w:numPr>
          <w:ilvl w:val="0"/>
          <w:numId w:val="33"/>
        </w:numPr>
        <w:spacing w:after="0" w:line="360" w:lineRule="auto"/>
        <w:ind w:firstLine="304" w:firstLineChars="126"/>
        <w:jc w:val="both"/>
        <w:rPr>
          <w:rFonts w:cs="Calibri"/>
          <w:sz w:val="24"/>
          <w:szCs w:val="24"/>
          <w:lang w:val="es-CO"/>
        </w:rPr>
      </w:pPr>
      <w:r>
        <w:rPr>
          <w:rFonts w:cs="Calibri"/>
          <w:b/>
          <w:bCs/>
          <w:sz w:val="24"/>
          <w:szCs w:val="24"/>
          <w:lang w:val="es-CO"/>
        </w:rPr>
        <w:t>Nariño (Río Mira, Tumaco)</w:t>
      </w:r>
      <w:r>
        <w:rPr>
          <w:rFonts w:cs="Calibri"/>
          <w:sz w:val="24"/>
          <w:szCs w:val="24"/>
          <w:lang w:val="es-CO"/>
        </w:rPr>
        <w:t>: Explotación en playas de Candelillas, con técnicas de extracción mecanizada.</w:t>
      </w:r>
      <w:r>
        <w:rPr>
          <w:rStyle w:val="Refdenotaalpie"/>
          <w:rFonts w:cs="Calibri"/>
          <w:sz w:val="24"/>
          <w:szCs w:val="24"/>
          <w:lang w:val="es-CO"/>
        </w:rPr>
        <w:footnoteReference w:id="15"/>
      </w:r>
    </w:p>
    <w:p w:rsidR="00527B8C" w:rsidRDefault="00212A57" w14:paraId="0F501065" w14:textId="77777777">
      <w:pPr>
        <w:numPr>
          <w:ilvl w:val="0"/>
          <w:numId w:val="33"/>
        </w:numPr>
        <w:spacing w:after="0" w:line="360" w:lineRule="auto"/>
        <w:ind w:firstLine="304" w:firstLineChars="126"/>
        <w:jc w:val="both"/>
        <w:rPr>
          <w:rFonts w:cs="Calibri"/>
          <w:sz w:val="24"/>
          <w:szCs w:val="24"/>
          <w:lang w:val="es-CO"/>
        </w:rPr>
      </w:pPr>
      <w:r>
        <w:rPr>
          <w:rFonts w:cs="Calibri"/>
          <w:b/>
          <w:bCs/>
          <w:sz w:val="24"/>
          <w:szCs w:val="24"/>
          <w:lang w:val="es-CO"/>
        </w:rPr>
        <w:t>Cesar (Río Cesar, Valledupar)</w:t>
      </w:r>
      <w:r>
        <w:rPr>
          <w:rFonts w:cs="Calibri"/>
          <w:sz w:val="24"/>
          <w:szCs w:val="24"/>
          <w:lang w:val="es-CO"/>
        </w:rPr>
        <w:t>: Corregimiento Guacochito, con plan de manejo ambiental para impactos generados.</w:t>
      </w:r>
      <w:r>
        <w:rPr>
          <w:rStyle w:val="Refdenotaalpie"/>
          <w:rFonts w:cs="Calibri"/>
          <w:sz w:val="24"/>
          <w:szCs w:val="24"/>
          <w:lang w:val="es-CO"/>
        </w:rPr>
        <w:footnoteReference w:id="16"/>
      </w:r>
    </w:p>
    <w:p w:rsidR="00527B8C" w:rsidRDefault="00212A57" w14:paraId="0D91AA84" w14:textId="77777777">
      <w:pPr>
        <w:numPr>
          <w:ilvl w:val="0"/>
          <w:numId w:val="33"/>
        </w:numPr>
        <w:spacing w:after="0" w:line="360" w:lineRule="auto"/>
        <w:ind w:firstLine="304" w:firstLineChars="126"/>
        <w:jc w:val="both"/>
        <w:rPr>
          <w:rFonts w:cs="Calibri"/>
          <w:sz w:val="24"/>
          <w:szCs w:val="24"/>
          <w:lang w:val="es-CO"/>
        </w:rPr>
      </w:pPr>
      <w:r>
        <w:rPr>
          <w:rFonts w:cs="Calibri"/>
          <w:b/>
          <w:bCs/>
          <w:sz w:val="24"/>
          <w:szCs w:val="24"/>
          <w:lang w:val="es-CO"/>
        </w:rPr>
        <w:t>Amazonía y Orinoquía</w:t>
      </w:r>
      <w:r>
        <w:rPr>
          <w:rFonts w:cs="Calibri"/>
          <w:sz w:val="24"/>
          <w:szCs w:val="24"/>
          <w:lang w:val="es-CO"/>
        </w:rPr>
        <w:t xml:space="preserve">: Aunque la minería de arrastre es menos intensiva, existen zonas potenciales en ríos de piedemonte y áreas aluviales, según estudios del SIAT-AC y Observatorio Amazónico. </w:t>
      </w:r>
      <w:r>
        <w:rPr>
          <w:rStyle w:val="Refdenotaalpie"/>
          <w:rFonts w:cs="Calibri"/>
          <w:sz w:val="24"/>
          <w:szCs w:val="24"/>
          <w:lang w:val="es-CO"/>
        </w:rPr>
        <w:footnoteReference w:id="17"/>
      </w:r>
    </w:p>
    <w:p w:rsidR="00527B8C" w:rsidRDefault="00527B8C" w14:paraId="284749CB" w14:textId="77777777">
      <w:pPr>
        <w:spacing w:after="0" w:line="360" w:lineRule="auto"/>
        <w:ind w:left="277" w:leftChars="126"/>
        <w:jc w:val="both"/>
        <w:rPr>
          <w:rFonts w:cs="Calibri"/>
          <w:sz w:val="24"/>
          <w:szCs w:val="24"/>
          <w:lang w:val="es-CO"/>
        </w:rPr>
      </w:pPr>
    </w:p>
    <w:p w:rsidR="00527B8C" w:rsidRDefault="00212A57" w14:paraId="51E6C14B" w14:textId="77777777">
      <w:pPr>
        <w:pStyle w:val="Ttulo2"/>
        <w:spacing w:before="0" w:line="360" w:lineRule="auto"/>
        <w:jc w:val="both"/>
        <w:rPr>
          <w:rFonts w:ascii="Calibri" w:hAnsi="Calibri" w:eastAsia="Calibri" w:cs="Calibri"/>
          <w:sz w:val="24"/>
          <w:szCs w:val="24"/>
          <w:lang w:val="es-CO"/>
        </w:rPr>
      </w:pPr>
      <w:bookmarkStart w:name="_Toc187279134" w:id="900861920"/>
      <w:r w:rsidRPr="53DEF7DD" w:rsidR="670101B5">
        <w:rPr>
          <w:rFonts w:ascii="Calibri" w:hAnsi="Calibri" w:eastAsia="Calibri" w:cs="Calibri"/>
          <w:sz w:val="24"/>
          <w:szCs w:val="24"/>
          <w:lang w:val="es-CO"/>
        </w:rPr>
        <w:t>3.2. Volúmenes de Extracción por Regiones</w:t>
      </w:r>
      <w:bookmarkEnd w:id="900861920"/>
    </w:p>
    <w:p w:rsidR="00527B8C" w:rsidRDefault="00212A57" w14:paraId="1C923E34" w14:textId="77777777">
      <w:pPr>
        <w:spacing w:after="0" w:line="360" w:lineRule="auto"/>
        <w:ind w:firstLine="302" w:firstLineChars="126"/>
        <w:jc w:val="both"/>
        <w:rPr>
          <w:rFonts w:cs="Calibri"/>
          <w:sz w:val="24"/>
          <w:szCs w:val="24"/>
          <w:lang w:val="es-CO"/>
        </w:rPr>
      </w:pPr>
      <w:r>
        <w:rPr>
          <w:rFonts w:cs="Calibri"/>
          <w:sz w:val="24"/>
          <w:szCs w:val="24"/>
          <w:lang w:val="es-CO"/>
        </w:rPr>
        <w:t>Los volúmenes varían según la dinámica fluvial y demanda regional:</w:t>
      </w:r>
    </w:p>
    <w:p w:rsidR="00527B8C" w:rsidRDefault="00212A57" w14:paraId="31691035" w14:textId="77777777">
      <w:pPr>
        <w:numPr>
          <w:ilvl w:val="0"/>
          <w:numId w:val="34"/>
        </w:numPr>
        <w:spacing w:after="0" w:line="360" w:lineRule="auto"/>
        <w:ind w:firstLine="304" w:firstLineChars="126"/>
        <w:jc w:val="both"/>
        <w:rPr>
          <w:rFonts w:cs="Calibri"/>
          <w:sz w:val="24"/>
          <w:szCs w:val="24"/>
          <w:lang w:val="es-CO"/>
        </w:rPr>
      </w:pPr>
      <w:r>
        <w:rPr>
          <w:rFonts w:cs="Calibri"/>
          <w:b/>
          <w:bCs/>
          <w:sz w:val="24"/>
          <w:szCs w:val="24"/>
          <w:lang w:val="es-CO"/>
        </w:rPr>
        <w:t>Tolima (Río Saldaña)</w:t>
      </w:r>
      <w:r>
        <w:rPr>
          <w:rFonts w:cs="Calibri"/>
          <w:sz w:val="24"/>
          <w:szCs w:val="24"/>
          <w:lang w:val="es-CO"/>
        </w:rPr>
        <w:t xml:space="preserve">: Proyecto estimado para 13 años de explotación, con producción anual proyectada en cientos de miles de m³ (según EIA). </w:t>
      </w:r>
      <w:r>
        <w:rPr>
          <w:rStyle w:val="Refdenotaalpie"/>
          <w:rFonts w:cs="Calibri"/>
          <w:sz w:val="24"/>
          <w:szCs w:val="24"/>
          <w:lang w:val="es-CO"/>
        </w:rPr>
        <w:footnoteReference w:id="18"/>
      </w:r>
    </w:p>
    <w:p w:rsidR="00527B8C" w:rsidRDefault="00212A57" w14:paraId="269F8763" w14:textId="77777777">
      <w:pPr>
        <w:numPr>
          <w:ilvl w:val="0"/>
          <w:numId w:val="34"/>
        </w:numPr>
        <w:spacing w:after="0" w:line="360" w:lineRule="auto"/>
        <w:ind w:firstLine="304" w:firstLineChars="126"/>
        <w:jc w:val="both"/>
        <w:rPr>
          <w:rFonts w:cs="Calibri"/>
          <w:sz w:val="24"/>
          <w:szCs w:val="24"/>
          <w:lang w:val="es-CO"/>
        </w:rPr>
      </w:pPr>
      <w:r>
        <w:rPr>
          <w:rFonts w:cs="Calibri"/>
          <w:b/>
          <w:bCs/>
          <w:sz w:val="24"/>
          <w:szCs w:val="24"/>
          <w:lang w:val="es-CO"/>
        </w:rPr>
        <w:t>Eje Cafetero (Río La Vieja)</w:t>
      </w:r>
      <w:r>
        <w:rPr>
          <w:rFonts w:cs="Calibri"/>
          <w:sz w:val="24"/>
          <w:szCs w:val="24"/>
          <w:lang w:val="es-CO"/>
        </w:rPr>
        <w:t>: Estudios semidetallados reportan sobreexplotación tras el sismo de 1999, con extracción intensiva para reconstrucción.</w:t>
      </w:r>
      <w:r>
        <w:rPr>
          <w:rStyle w:val="Refdenotaalpie"/>
          <w:rFonts w:cs="Calibri"/>
          <w:sz w:val="24"/>
          <w:szCs w:val="24"/>
          <w:lang w:val="es-CO"/>
        </w:rPr>
        <w:footnoteReference w:id="19"/>
      </w:r>
    </w:p>
    <w:p w:rsidR="00527B8C" w:rsidRDefault="00212A57" w14:paraId="5119BB67" w14:textId="77777777">
      <w:pPr>
        <w:numPr>
          <w:ilvl w:val="0"/>
          <w:numId w:val="34"/>
        </w:numPr>
        <w:spacing w:after="0" w:line="360" w:lineRule="auto"/>
        <w:ind w:firstLine="304" w:firstLineChars="126"/>
        <w:jc w:val="both"/>
        <w:rPr>
          <w:rFonts w:cs="Calibri"/>
          <w:sz w:val="24"/>
          <w:szCs w:val="24"/>
          <w:lang w:val="es-CO"/>
        </w:rPr>
      </w:pPr>
      <w:r>
        <w:rPr>
          <w:rFonts w:cs="Calibri"/>
          <w:b/>
          <w:bCs/>
          <w:sz w:val="24"/>
          <w:szCs w:val="24"/>
          <w:lang w:val="es-CO"/>
        </w:rPr>
        <w:t>Cesar (Río Cesar)</w:t>
      </w:r>
      <w:r>
        <w:rPr>
          <w:rFonts w:cs="Calibri"/>
          <w:sz w:val="24"/>
          <w:szCs w:val="24"/>
          <w:lang w:val="es-CO"/>
        </w:rPr>
        <w:t xml:space="preserve">: Producción para obras locales y regionales, con capacidad de extracción diaria en rangos de 500–800 m³ (referencia comparativa con Ecuador y Perú). </w:t>
      </w:r>
      <w:r>
        <w:rPr>
          <w:rStyle w:val="Refdenotaalpie"/>
          <w:rFonts w:cs="Calibri"/>
          <w:sz w:val="24"/>
          <w:szCs w:val="24"/>
          <w:lang w:val="es-CO"/>
        </w:rPr>
        <w:footnoteReference w:id="20"/>
      </w:r>
    </w:p>
    <w:p w:rsidR="00527B8C" w:rsidRDefault="00212A57" w14:paraId="63374179" w14:textId="77777777">
      <w:pPr>
        <w:numPr>
          <w:ilvl w:val="0"/>
          <w:numId w:val="34"/>
        </w:numPr>
        <w:spacing w:after="0" w:line="360" w:lineRule="auto"/>
        <w:ind w:firstLine="304" w:firstLineChars="126"/>
        <w:jc w:val="both"/>
        <w:rPr>
          <w:rFonts w:cs="Calibri"/>
          <w:sz w:val="24"/>
          <w:szCs w:val="24"/>
          <w:lang w:val="es-CO"/>
        </w:rPr>
      </w:pPr>
      <w:r>
        <w:rPr>
          <w:rFonts w:cs="Calibri"/>
          <w:b/>
          <w:bCs/>
          <w:sz w:val="24"/>
          <w:szCs w:val="24"/>
          <w:lang w:val="es-CO"/>
        </w:rPr>
        <w:t>Amazonía y Orinoquía</w:t>
      </w:r>
      <w:r>
        <w:rPr>
          <w:rFonts w:cs="Calibri"/>
          <w:sz w:val="24"/>
          <w:szCs w:val="24"/>
          <w:lang w:val="es-CO"/>
        </w:rPr>
        <w:t>: No hay cifras oficiales consolidadas; la ANM indica que son áreas sensibles con restricciones normativas.</w:t>
      </w:r>
      <w:r>
        <w:rPr>
          <w:rStyle w:val="Refdenotaalpie"/>
          <w:rFonts w:cs="Calibri"/>
          <w:sz w:val="24"/>
          <w:szCs w:val="24"/>
          <w:lang w:val="es-CO"/>
        </w:rPr>
        <w:footnoteReference w:id="21"/>
      </w:r>
    </w:p>
    <w:p w:rsidR="00527B8C" w:rsidRDefault="00527B8C" w14:paraId="59D79DBD" w14:textId="77777777">
      <w:pPr>
        <w:pStyle w:val="Ttulo1"/>
        <w:spacing w:before="0" w:line="360" w:lineRule="auto"/>
        <w:jc w:val="both"/>
        <w:rPr>
          <w:rFonts w:ascii="Calibri" w:hAnsi="Calibri" w:eastAsia="Calibri" w:cs="Calibri"/>
          <w:sz w:val="24"/>
          <w:szCs w:val="24"/>
          <w:lang w:val="es-CO"/>
        </w:rPr>
      </w:pPr>
    </w:p>
    <w:p w:rsidR="00527B8C" w:rsidRDefault="00212A57" w14:paraId="3FCB533F" w14:textId="77777777">
      <w:pPr>
        <w:pStyle w:val="Ttulo1"/>
        <w:spacing w:before="0" w:line="360" w:lineRule="auto"/>
        <w:jc w:val="both"/>
        <w:rPr>
          <w:rFonts w:ascii="Calibri" w:hAnsi="Calibri" w:eastAsia="Calibri" w:cs="Calibri"/>
          <w:sz w:val="24"/>
          <w:szCs w:val="24"/>
          <w:lang w:val="es-CO"/>
        </w:rPr>
      </w:pPr>
      <w:bookmarkStart w:name="_Toc636746039" w:id="2127035869"/>
      <w:r w:rsidRPr="53DEF7DD" w:rsidR="670101B5">
        <w:rPr>
          <w:rFonts w:ascii="Calibri" w:hAnsi="Calibri" w:eastAsia="Calibri" w:cs="Calibri"/>
          <w:sz w:val="24"/>
          <w:szCs w:val="24"/>
          <w:lang w:val="es-CO"/>
        </w:rPr>
        <w:t>4. Región Amazónica: Panorama actual de la actividad (materiales de construcción) en la Amazonia colombiana</w:t>
      </w:r>
      <w:bookmarkEnd w:id="2127035869"/>
    </w:p>
    <w:p w:rsidR="00527B8C" w:rsidRDefault="00212A57" w14:paraId="76456DD4" w14:textId="77777777">
      <w:pPr>
        <w:spacing w:before="300" w:after="0" w:line="360" w:lineRule="auto"/>
        <w:ind w:firstLine="302" w:firstLineChars="126"/>
        <w:jc w:val="both"/>
        <w:rPr>
          <w:rFonts w:cs="Calibri"/>
          <w:sz w:val="24"/>
          <w:szCs w:val="24"/>
          <w:lang w:val="es-CO"/>
        </w:rPr>
      </w:pPr>
      <w:r>
        <w:rPr>
          <w:rFonts w:cs="Calibri"/>
          <w:sz w:val="24"/>
          <w:szCs w:val="24"/>
          <w:lang w:val="es-CO"/>
        </w:rPr>
        <w:t xml:space="preserve">De acuerdo con la Agencia Nacional de Minería (2021), en el país, las explotaciones de materiales de arrastre predominan en las zonas planas del territorio, dado que la granulometría de mayor demanda se asocia con sistemas de drenajes maduros, que, para el caso de la región amazónica, se encuentran en los departamentos de Guainía, Amazonas y Putumayo. Sin embargo, la demanda y necesidad de estos materiales ha generado el aprovechamiento en diversos tipos de cauces, relieves y regiones del país. El valor de </w:t>
      </w:r>
      <w:r>
        <w:rPr>
          <w:rFonts w:cs="Calibri"/>
          <w:sz w:val="24"/>
          <w:szCs w:val="24"/>
          <w:lang w:val="es-CO"/>
        </w:rPr>
        <w:t>dichos materiales está influenciado principalmente por la cercanía a los centros de consumo, como zonas urbanas y polos de construcción de infraestructura civil</w:t>
      </w:r>
      <w:r>
        <w:rPr>
          <w:rStyle w:val="Refdenotaalpie"/>
          <w:rFonts w:cs="Calibri"/>
          <w:sz w:val="24"/>
          <w:szCs w:val="24"/>
          <w:lang w:val="es-CO"/>
        </w:rPr>
        <w:footnoteReference w:id="22"/>
      </w:r>
      <w:r>
        <w:rPr>
          <w:rFonts w:cs="Calibri"/>
          <w:sz w:val="24"/>
          <w:szCs w:val="24"/>
          <w:lang w:val="es-CO"/>
        </w:rPr>
        <w:t xml:space="preserve">. </w:t>
      </w:r>
    </w:p>
    <w:p w:rsidR="00527B8C" w:rsidRDefault="00212A57" w14:paraId="609344F7" w14:textId="77777777">
      <w:pPr>
        <w:spacing w:before="300" w:after="0" w:line="360" w:lineRule="auto"/>
        <w:ind w:firstLine="302" w:firstLineChars="126"/>
        <w:jc w:val="both"/>
        <w:rPr>
          <w:rFonts w:cs="Calibri"/>
          <w:sz w:val="24"/>
          <w:szCs w:val="24"/>
          <w:lang w:val="es-CO"/>
        </w:rPr>
      </w:pPr>
      <w:r>
        <w:rPr>
          <w:rFonts w:cs="Calibri"/>
          <w:sz w:val="24"/>
          <w:szCs w:val="24"/>
          <w:lang w:val="es-CO"/>
        </w:rPr>
        <w:t>La Amazonía colombiana, por su alta biodiversidad y presencia de comunidades indígenas, demanda protección especial. Los reportes recientes documentan la persistencia de extracción ilícita (principalmente oro), con impactos en ríos como el Puré y el Cotuhé. Aunque el foco no son los materiales de construcción, la presión extractiva y la deforestación vinculada a actividades mineras y a infraestructura ilegal, afectan integralmente los ecosistemas.</w:t>
      </w:r>
    </w:p>
    <w:p w:rsidR="00527B8C" w:rsidRDefault="00212A57" w14:paraId="0CC9A7C0" w14:textId="77777777">
      <w:pPr>
        <w:spacing w:before="300" w:after="0" w:line="360" w:lineRule="auto"/>
        <w:ind w:firstLine="302" w:firstLineChars="126"/>
        <w:jc w:val="both"/>
        <w:rPr>
          <w:rFonts w:cs="Calibri"/>
          <w:sz w:val="24"/>
          <w:szCs w:val="24"/>
          <w:lang w:val="es-CO"/>
        </w:rPr>
      </w:pPr>
      <w:r>
        <w:rPr>
          <w:rFonts w:cs="Calibri"/>
          <w:sz w:val="24"/>
          <w:szCs w:val="24"/>
          <w:lang w:val="es-CO"/>
        </w:rPr>
        <w:t>La extracción de materiales de arrastre (arenas y gravas) y de rocas y arcillas en la Amazonia colombiana ocurre sobre todo en los departamentos de Amazonas, Caquetá, Guaviare, Guainía, Putumayo y Vaupés, con operaciones formales e informales de muy diversa escala y tecnificación. En términos generales, estas actividades modifican cauces, alteran balances de sedimentos y generan presiones sobre suelos y agua, especialmente cuando carecen de licenciamiento y planes de manejo robustos. La evidencia regional m</w:t>
      </w:r>
      <w:r>
        <w:rPr>
          <w:rFonts w:cs="Calibri"/>
          <w:sz w:val="24"/>
          <w:szCs w:val="24"/>
          <w:lang w:val="es-CO"/>
        </w:rPr>
        <w:t>uestra superposición de concesiones, solicitudes y operaciones con áreas protegidas y territorios indígenas, lo que agrava la conflictividad socioambiental.</w:t>
      </w:r>
      <w:r>
        <w:rPr>
          <w:rStyle w:val="Refdenotaalpie"/>
          <w:rFonts w:cs="Calibri"/>
          <w:sz w:val="24"/>
          <w:szCs w:val="24"/>
          <w:lang w:val="es-CO"/>
        </w:rPr>
        <w:footnoteReference w:id="23"/>
      </w:r>
    </w:p>
    <w:p w:rsidR="00527B8C" w:rsidRDefault="00212A57" w14:paraId="2F35396F" w14:textId="77777777">
      <w:pPr>
        <w:spacing w:before="300" w:after="0" w:line="360" w:lineRule="auto"/>
        <w:ind w:firstLine="302" w:firstLineChars="126"/>
        <w:jc w:val="both"/>
        <w:rPr>
          <w:rFonts w:cs="Calibri"/>
          <w:sz w:val="24"/>
          <w:szCs w:val="24"/>
          <w:lang w:val="es-CO"/>
        </w:rPr>
      </w:pPr>
      <w:r>
        <w:rPr>
          <w:rFonts w:cs="Calibri"/>
          <w:sz w:val="24"/>
          <w:szCs w:val="24"/>
          <w:lang w:val="es-CO"/>
        </w:rPr>
        <w:t>En el conjunto amazónico, RAISG (Red Amazónica de Información Socioambiental Georreferenciada) ha documentado más de 1,44 millones km² comprometidos con minería legal (potencial, solicitud, exploración y explotación) en 2020, y una superposición cercana al 9% con territorios indígenas bajo distintas fases, lo que ilustra la escala y la sensibilidad territorial del fenómeno; Colombia redujo área por depuración del catastro, pero la presión se mantiene por solicitudes y expansión de frentes informales.</w:t>
      </w:r>
      <w:r>
        <w:rPr>
          <w:rStyle w:val="Refdenotaalpie"/>
          <w:rFonts w:cs="Calibri"/>
          <w:sz w:val="24"/>
          <w:szCs w:val="24"/>
          <w:lang w:val="es-CO"/>
        </w:rPr>
        <w:footnoteReference w:id="24"/>
      </w:r>
    </w:p>
    <w:p w:rsidR="00527B8C" w:rsidRDefault="00212A57" w14:paraId="27E91225" w14:textId="77777777">
      <w:pPr>
        <w:spacing w:before="300" w:after="0" w:line="360" w:lineRule="auto"/>
        <w:ind w:firstLine="302" w:firstLineChars="126"/>
        <w:jc w:val="both"/>
        <w:rPr>
          <w:rFonts w:cs="Calibri"/>
          <w:sz w:val="24"/>
          <w:szCs w:val="24"/>
          <w:lang w:val="es-CO"/>
        </w:rPr>
      </w:pPr>
      <w:r>
        <w:rPr>
          <w:rFonts w:cs="Calibri"/>
          <w:sz w:val="24"/>
          <w:szCs w:val="24"/>
          <w:lang w:val="es-CO"/>
        </w:rPr>
        <w:t>Hasta el año 2014, de acuerdo con el estudio realizado por investigadores de la Universidad de Nariño en el año 2021 sobre los efectos de la minería legal en la deforestación en la Amazonia, la minería en la Amazonía colombiana estaba enfocada, principalmente, a la extracción de materiales de construcción, seguida de demás concesibles y extracción de metales y no metales</w:t>
      </w:r>
      <w:r>
        <w:rPr>
          <w:rStyle w:val="Refdenotaalpie"/>
          <w:rFonts w:cs="Calibri"/>
          <w:sz w:val="24"/>
          <w:szCs w:val="24"/>
          <w:lang w:val="es-CO"/>
        </w:rPr>
        <w:footnoteReference w:id="25"/>
      </w:r>
      <w:r>
        <w:rPr>
          <w:rFonts w:cs="Calibri"/>
          <w:sz w:val="24"/>
          <w:szCs w:val="24"/>
          <w:lang w:val="es-CO"/>
        </w:rPr>
        <w:t>. Este escenario se ha venido transformado significativamente en los últimos años, donde la minería ilegal en la Amazonía colombiana (departamentos como Amazonas, Caquetá, Putumayo, Guainía, Guaviare, Vaupés) ha experimentado un fuerte aumento, principalmente de EVOA en los ríos Amazonas, Apaporis, Putumayo, Cotuhé, Caquetá, Inírida, Guainía, Yarí, Puré y Atabapo</w:t>
      </w:r>
      <w:r>
        <w:rPr>
          <w:rStyle w:val="Refdenotaalpie"/>
          <w:rFonts w:cs="Calibri"/>
          <w:sz w:val="24"/>
          <w:szCs w:val="24"/>
          <w:lang w:val="es-CO"/>
        </w:rPr>
        <w:footnoteReference w:id="26"/>
      </w:r>
      <w:r>
        <w:rPr>
          <w:rFonts w:cs="Calibri"/>
          <w:sz w:val="24"/>
          <w:szCs w:val="24"/>
          <w:lang w:val="es-CO"/>
        </w:rPr>
        <w:t>, donde esta actividad predomina sobre la legal, concentrándose en áreas protegidas y territorios indígenas.</w:t>
      </w:r>
    </w:p>
    <w:p w:rsidR="00527B8C" w:rsidRDefault="00212A57" w14:paraId="3369DF79" w14:textId="77777777">
      <w:pPr>
        <w:spacing w:before="300" w:after="0" w:line="360" w:lineRule="auto"/>
        <w:ind w:firstLine="302" w:firstLineChars="126"/>
        <w:jc w:val="both"/>
        <w:rPr>
          <w:rFonts w:cs="Calibri"/>
          <w:color w:val="000000" w:themeColor="text1"/>
          <w:sz w:val="24"/>
          <w:szCs w:val="24"/>
        </w:rPr>
      </w:pPr>
      <w:r>
        <w:rPr>
          <w:rFonts w:cs="Calibri"/>
          <w:sz w:val="24"/>
          <w:szCs w:val="24"/>
        </w:rPr>
        <w:t xml:space="preserve">De acuerdo con los datos obtenidos, por Guiza, Peñuela y Ríos (2020) a través de Corpoamazonia, en 2017 </w:t>
      </w:r>
      <w:r>
        <w:rPr>
          <w:rFonts w:cs="Calibri"/>
          <w:color w:val="000000" w:themeColor="text1"/>
          <w:sz w:val="24"/>
          <w:szCs w:val="24"/>
        </w:rPr>
        <w:t>en la región amazónica se identificaron al menos 212 puntos con actividades asociadas a la minería ilegal, de los cuales el 57% correspondía a la minería aurífera y el 43% restante, a la extracción de materiales de construcción como piedra caliza y asfalto. Donde los departamentos de Caquetá y Putumayo poseían la mayor concentración de extracción minera ilegal. En el departamento del Putumayo, para entonces el más afectado, el 74,4 % de la minería aurífera era ilegal y el 56% correspondía a la explotación d</w:t>
      </w:r>
      <w:r>
        <w:rPr>
          <w:rFonts w:cs="Calibri"/>
          <w:color w:val="000000" w:themeColor="text1"/>
          <w:sz w:val="24"/>
          <w:szCs w:val="24"/>
        </w:rPr>
        <w:t>e materiales de construcción de la región amazónica. El departamento del Caquetá, por su parte, poseía, para entonces, el 41,7 % de los puntos con actividades relacionadas con la extracción de materiales de construcción y un 14,9 % de aquellos ligados a la extracción de oro</w:t>
      </w:r>
      <w:r>
        <w:rPr>
          <w:rStyle w:val="Refdenotaalpie"/>
          <w:rFonts w:cs="Calibri"/>
          <w:color w:val="000000" w:themeColor="text1"/>
          <w:sz w:val="24"/>
          <w:szCs w:val="24"/>
        </w:rPr>
        <w:footnoteReference w:id="27"/>
      </w:r>
      <w:r>
        <w:rPr>
          <w:rFonts w:cs="Calibri"/>
          <w:color w:val="000000" w:themeColor="text1"/>
          <w:sz w:val="24"/>
          <w:szCs w:val="24"/>
        </w:rPr>
        <w:t>.</w:t>
      </w:r>
    </w:p>
    <w:p w:rsidR="002352AE" w:rsidRDefault="002352AE" w14:paraId="55466DFE" w14:textId="77777777">
      <w:pPr>
        <w:spacing w:line="360" w:lineRule="auto"/>
        <w:ind w:firstLine="302" w:firstLineChars="126"/>
        <w:jc w:val="both"/>
        <w:rPr>
          <w:rFonts w:cs="Calibri"/>
          <w:color w:val="000000" w:themeColor="text1"/>
          <w:sz w:val="24"/>
          <w:szCs w:val="24"/>
          <w:lang w:val="es-CO"/>
        </w:rPr>
      </w:pPr>
    </w:p>
    <w:p w:rsidR="00527B8C" w:rsidRDefault="00212A57" w14:paraId="74584D79" w14:textId="4918BE39">
      <w:pPr>
        <w:spacing w:line="360" w:lineRule="auto"/>
        <w:ind w:firstLine="302" w:firstLineChars="126"/>
        <w:jc w:val="both"/>
        <w:rPr>
          <w:rFonts w:cs="Calibri"/>
          <w:color w:val="141414"/>
          <w:sz w:val="24"/>
          <w:szCs w:val="24"/>
          <w:lang w:val="es-CO"/>
        </w:rPr>
      </w:pPr>
      <w:r>
        <w:rPr>
          <w:rFonts w:cs="Calibri"/>
          <w:color w:val="000000" w:themeColor="text1"/>
          <w:sz w:val="24"/>
          <w:szCs w:val="24"/>
          <w:lang w:val="es-CO"/>
        </w:rPr>
        <w:t xml:space="preserve">En cuanto a la existencia de títulos mineros, para el año 2018 en la región amazónica existían 138 títulos mineros para la explotación de material de construcción correspondiendo a </w:t>
      </w:r>
      <w:r>
        <w:rPr>
          <w:rFonts w:cs="Calibri"/>
          <w:sz w:val="24"/>
          <w:szCs w:val="24"/>
          <w:lang w:val="es-CO"/>
        </w:rPr>
        <w:t>11,823.20</w:t>
      </w:r>
      <w:r>
        <w:rPr>
          <w:rFonts w:cs="Calibri"/>
          <w:color w:val="000000" w:themeColor="text1"/>
          <w:sz w:val="24"/>
          <w:szCs w:val="24"/>
          <w:lang w:val="es-CO"/>
        </w:rPr>
        <w:t xml:space="preserve"> hectáreas, y 232 solicitudes para la titulación que permita la explotación de este tipo de materiales</w:t>
      </w:r>
      <w:r>
        <w:rPr>
          <w:rStyle w:val="Refdenotaalpie"/>
          <w:rFonts w:cs="Calibri"/>
          <w:color w:val="000000" w:themeColor="text1"/>
          <w:sz w:val="24"/>
          <w:szCs w:val="24"/>
          <w:lang w:val="es-CO"/>
        </w:rPr>
        <w:footnoteReference w:id="28"/>
      </w:r>
      <w:r>
        <w:rPr>
          <w:rFonts w:cs="Calibri"/>
          <w:color w:val="000000" w:themeColor="text1"/>
          <w:sz w:val="24"/>
          <w:szCs w:val="24"/>
          <w:lang w:val="es-CO"/>
        </w:rPr>
        <w:t xml:space="preserve">. Para el año 2023, de </w:t>
      </w:r>
      <w:r>
        <w:rPr>
          <w:rFonts w:cs="Calibri"/>
          <w:color w:val="141414"/>
          <w:sz w:val="24"/>
          <w:szCs w:val="24"/>
          <w:lang w:val="es-CO"/>
        </w:rPr>
        <w:t>acuerdo con la Agencia Nacional de Minería, en los departamentos amazónicos Caquetá, Guainía, Guaviare, Putumayo y Vaupés existían 44 títulos mineros en etapa de exploración, 110 en explotación, de los cuales 29 de estos títulos en exploración, correspondían a minerales de materiales de construcción</w:t>
      </w:r>
      <w:r>
        <w:rPr>
          <w:rStyle w:val="Refdenotaalpie"/>
          <w:rFonts w:cs="Calibri"/>
          <w:color w:val="141414"/>
          <w:sz w:val="24"/>
          <w:szCs w:val="24"/>
          <w:lang w:val="es-CO"/>
        </w:rPr>
        <w:footnoteReference w:id="29"/>
      </w:r>
      <w:r>
        <w:rPr>
          <w:rFonts w:cs="Calibri"/>
          <w:color w:val="141414"/>
          <w:sz w:val="24"/>
          <w:szCs w:val="24"/>
          <w:lang w:val="es-CO"/>
        </w:rPr>
        <w:t>.</w:t>
      </w:r>
    </w:p>
    <w:p w:rsidR="00527B8C" w:rsidRDefault="00212A57" w14:paraId="7AA10D5F" w14:textId="77777777">
      <w:pPr>
        <w:spacing w:after="0" w:line="360" w:lineRule="auto"/>
        <w:ind w:firstLine="302" w:firstLineChars="126"/>
        <w:jc w:val="both"/>
        <w:rPr>
          <w:rFonts w:cs="Calibri"/>
          <w:sz w:val="24"/>
          <w:szCs w:val="24"/>
          <w:lang w:val="es-CO"/>
        </w:rPr>
      </w:pPr>
      <w:r>
        <w:rPr>
          <w:rFonts w:cs="Calibri"/>
          <w:sz w:val="24"/>
          <w:szCs w:val="24"/>
          <w:lang w:val="es-CO"/>
        </w:rPr>
        <w:t>Bajo este escenario, se evidencia que la explotación de materiales de arrastre en la Amazonía colombiana ocurre en un contexto de alta sensibilidad ambiental y de creciente complejidad socioeconómica, marcado por la coexistencia de operaciones formales, informales e ilícitas. La presencia simultánea de títulos vigentes, solicitudes en trámite y numerosos puntos de extracción ilegal, particularmente en Caquetá, Putumayo, Guainía y Guaviare, revela un escenario donde las presiones sobre los ríos, los suelos y</w:t>
      </w:r>
      <w:r>
        <w:rPr>
          <w:rFonts w:cs="Calibri"/>
          <w:sz w:val="24"/>
          <w:szCs w:val="24"/>
          <w:lang w:val="es-CO"/>
        </w:rPr>
        <w:t xml:space="preserve"> los ecosistemas son significativas y persistentes. </w:t>
      </w:r>
    </w:p>
    <w:p w:rsidR="002352AE" w:rsidRDefault="002352AE" w14:paraId="64FB292E" w14:textId="77777777">
      <w:pPr>
        <w:spacing w:after="0" w:line="360" w:lineRule="auto"/>
        <w:ind w:firstLine="353" w:firstLineChars="126"/>
        <w:jc w:val="both"/>
        <w:rPr>
          <w:rFonts w:cs="Calibri"/>
          <w:sz w:val="28"/>
          <w:szCs w:val="28"/>
          <w:lang w:val="es-CO"/>
        </w:rPr>
      </w:pPr>
    </w:p>
    <w:p w:rsidR="00527B8C" w:rsidRDefault="00212A57" w14:paraId="0F8ADD71" w14:textId="77777777">
      <w:pPr>
        <w:spacing w:after="0" w:line="360" w:lineRule="auto"/>
        <w:ind w:firstLine="302" w:firstLineChars="126"/>
        <w:jc w:val="both"/>
        <w:rPr>
          <w:rFonts w:cs="Calibri"/>
          <w:sz w:val="24"/>
          <w:szCs w:val="24"/>
          <w:lang w:val="es-CO"/>
        </w:rPr>
      </w:pPr>
      <w:r>
        <w:rPr>
          <w:rFonts w:cs="Calibri"/>
          <w:sz w:val="24"/>
          <w:szCs w:val="24"/>
          <w:lang w:val="es-CO"/>
        </w:rPr>
        <w:t>Adicionalmente, la modificación de cauces, la alteración del balance de sedimentos y la expansión de prácticas extractivas en territorios indígenas y áreas protegidas subrayan la vulnerabilidad del territorio ante actividades que, cuando carecen de planes de manejo adecuados, pueden generar daños ambientales amplios y difíciles de revertir. En este sentido, la magnitud del fenómeno y su distribución geográfica justifican la necesidad de fortalecer y consolidar sistemas de monitoreo continuo que permitan ide</w:t>
      </w:r>
      <w:r>
        <w:rPr>
          <w:rFonts w:cs="Calibri"/>
          <w:sz w:val="24"/>
          <w:szCs w:val="24"/>
          <w:lang w:val="es-CO"/>
        </w:rPr>
        <w:t>ntificar oportunamente las alteraciones y orientar decisiones de gestión basadas en evidencia.</w:t>
      </w:r>
    </w:p>
    <w:p w:rsidR="00527B8C" w:rsidRDefault="00527B8C" w14:paraId="5D5DE921" w14:textId="77777777">
      <w:pPr>
        <w:spacing w:after="0" w:line="360" w:lineRule="auto"/>
        <w:ind w:firstLine="302" w:firstLineChars="126"/>
        <w:jc w:val="both"/>
        <w:rPr>
          <w:rFonts w:cs="Calibri"/>
          <w:sz w:val="24"/>
          <w:szCs w:val="24"/>
          <w:lang w:val="es-CO"/>
        </w:rPr>
      </w:pPr>
    </w:p>
    <w:p w:rsidR="00527B8C" w:rsidRDefault="00212A57" w14:paraId="76C56FDA" w14:textId="77777777">
      <w:pPr>
        <w:spacing w:after="0" w:line="360" w:lineRule="auto"/>
        <w:ind w:firstLine="302" w:firstLineChars="126"/>
        <w:jc w:val="both"/>
        <w:rPr>
          <w:rFonts w:cs="Calibri"/>
          <w:sz w:val="28"/>
          <w:szCs w:val="28"/>
          <w:lang w:val="es-CO"/>
        </w:rPr>
      </w:pPr>
      <w:r>
        <w:rPr>
          <w:rFonts w:cs="Calibri"/>
          <w:sz w:val="24"/>
          <w:szCs w:val="24"/>
          <w:lang w:val="es-CO"/>
        </w:rPr>
        <w:t>Al mismo tiempo, el avance de la minería ilegal, particularmente la aurífera, pero también asociada a materiales de construcción, ha modificado la dinámica extractiva regional y ha incrementado los riesgos para la integridad ecosistémica y la gobernanza territorial. La superposición de actividades mineras con áreas ambientalmente estratégicas y territorios indígenas, sumada a la presión creciente por la demanda de materiales ligada al desarrollo urbano y de infraestructura, amplifica la conflictividad socio</w:t>
      </w:r>
      <w:r>
        <w:rPr>
          <w:rFonts w:cs="Calibri"/>
          <w:sz w:val="24"/>
          <w:szCs w:val="24"/>
          <w:lang w:val="es-CO"/>
        </w:rPr>
        <w:t>ambiental y dificulta la capacidad institucional de control. Ante este panorama, el monitoreo y seguimiento permanente de la explotación de materiales de arrastre se convierte en una herramienta fundamental para prevenir impactos acumulativos, detectar actividades no autorizadas, garantizar el cumplimiento de obligaciones ambientales y orientar procesos de ordenamiento territorial coherentes con la conservación amazónica. En síntesis, contar con información sistemática, actualizada y verificable es indispen</w:t>
      </w:r>
      <w:r>
        <w:rPr>
          <w:rFonts w:cs="Calibri"/>
          <w:sz w:val="24"/>
          <w:szCs w:val="24"/>
          <w:lang w:val="es-CO"/>
        </w:rPr>
        <w:t>sable para asegurar que el aprovechamiento de estos recursos se realice de manera responsable, evitando la degradación de uno de los territorios ecológica y culturalmente más valiosos del país.</w:t>
      </w:r>
    </w:p>
    <w:p w:rsidR="00527B8C" w:rsidRDefault="00527B8C" w14:paraId="0F60E85F" w14:textId="77777777">
      <w:pPr>
        <w:spacing w:after="0" w:line="360" w:lineRule="auto"/>
        <w:ind w:firstLine="302" w:firstLineChars="126"/>
        <w:jc w:val="both"/>
        <w:rPr>
          <w:rFonts w:cs="Calibri"/>
          <w:sz w:val="24"/>
          <w:szCs w:val="24"/>
          <w:lang w:val="es-CO"/>
        </w:rPr>
      </w:pPr>
    </w:p>
    <w:p w:rsidR="00527B8C" w:rsidRDefault="00212A57" w14:paraId="13BF46D4" w14:textId="77777777">
      <w:pPr>
        <w:pStyle w:val="Ttulo2"/>
        <w:spacing w:before="300" w:after="300" w:line="360" w:lineRule="auto"/>
        <w:jc w:val="both"/>
        <w:rPr>
          <w:rFonts w:ascii="Calibri" w:hAnsi="Calibri" w:eastAsia="Calibri" w:cs="Calibri"/>
          <w:sz w:val="24"/>
          <w:szCs w:val="24"/>
          <w:lang w:val="es-CO"/>
        </w:rPr>
      </w:pPr>
      <w:bookmarkStart w:name="_Toc709361891" w:id="1698029923"/>
      <w:r w:rsidRPr="53DEF7DD" w:rsidR="670101B5">
        <w:rPr>
          <w:rFonts w:ascii="Calibri" w:hAnsi="Calibri" w:eastAsia="Calibri" w:cs="Calibri"/>
          <w:sz w:val="24"/>
          <w:szCs w:val="24"/>
          <w:lang w:val="es-CO"/>
        </w:rPr>
        <w:t>4.1. Títulos y solicitudes mineras en la Amazonia colombiana (con foco en materiales y presión general)</w:t>
      </w:r>
      <w:bookmarkEnd w:id="1698029923"/>
    </w:p>
    <w:p w:rsidR="00527B8C" w:rsidRDefault="00212A57" w14:paraId="2C0CDCFA" w14:textId="77777777">
      <w:pPr>
        <w:spacing w:after="0" w:line="360" w:lineRule="auto"/>
        <w:ind w:firstLine="302" w:firstLineChars="126"/>
        <w:jc w:val="both"/>
        <w:rPr>
          <w:rFonts w:cs="Calibri"/>
          <w:sz w:val="24"/>
          <w:szCs w:val="24"/>
          <w:lang w:val="es-CO"/>
        </w:rPr>
      </w:pPr>
      <w:r>
        <w:rPr>
          <w:rFonts w:cs="Calibri"/>
          <w:sz w:val="24"/>
          <w:szCs w:val="24"/>
          <w:lang w:val="es-CO"/>
        </w:rPr>
        <w:t xml:space="preserve">Aunque las cifras varían con el tiempo (por depuración y nuevas entradas), compilaciones recientes reportan que, en la Amazonia colombiana, </w:t>
      </w:r>
      <w:r>
        <w:rPr>
          <w:rFonts w:cs="Calibri"/>
          <w:b/>
          <w:bCs/>
          <w:sz w:val="24"/>
          <w:szCs w:val="24"/>
          <w:lang w:val="es-CO"/>
        </w:rPr>
        <w:t>143.214 hectáreas</w:t>
      </w:r>
      <w:r>
        <w:rPr>
          <w:rFonts w:cs="Calibri"/>
          <w:sz w:val="24"/>
          <w:szCs w:val="24"/>
          <w:lang w:val="es-CO"/>
        </w:rPr>
        <w:t xml:space="preserve"> estaban </w:t>
      </w:r>
      <w:r>
        <w:rPr>
          <w:rFonts w:cs="Calibri"/>
          <w:b/>
          <w:bCs/>
          <w:sz w:val="24"/>
          <w:szCs w:val="24"/>
          <w:lang w:val="es-CO"/>
        </w:rPr>
        <w:t>adjudicadas</w:t>
      </w:r>
      <w:r>
        <w:rPr>
          <w:rFonts w:cs="Calibri"/>
          <w:sz w:val="24"/>
          <w:szCs w:val="24"/>
          <w:lang w:val="es-CO"/>
        </w:rPr>
        <w:t xml:space="preserve"> en títulos mineros (ANM, 2023), con </w:t>
      </w:r>
      <w:r>
        <w:rPr>
          <w:rFonts w:cs="Calibri"/>
          <w:b/>
          <w:bCs/>
          <w:sz w:val="24"/>
          <w:szCs w:val="24"/>
          <w:lang w:val="es-CO"/>
        </w:rPr>
        <w:t>más de 500 solicitudes</w:t>
      </w:r>
      <w:r>
        <w:rPr>
          <w:rFonts w:cs="Calibri"/>
          <w:sz w:val="24"/>
          <w:szCs w:val="24"/>
          <w:lang w:val="es-CO"/>
        </w:rPr>
        <w:t xml:space="preserve"> que suman </w:t>
      </w:r>
      <w:r>
        <w:rPr>
          <w:rFonts w:cs="Calibri"/>
          <w:b/>
          <w:bCs/>
          <w:sz w:val="24"/>
          <w:szCs w:val="24"/>
          <w:lang w:val="es-CO"/>
        </w:rPr>
        <w:t>469.545 hectáreas</w:t>
      </w:r>
      <w:r>
        <w:rPr>
          <w:rFonts w:cs="Calibri"/>
          <w:sz w:val="24"/>
          <w:szCs w:val="24"/>
          <w:lang w:val="es-CO"/>
        </w:rPr>
        <w:t xml:space="preserve">, concentradas principalmente en </w:t>
      </w:r>
      <w:r>
        <w:rPr>
          <w:rFonts w:cs="Calibri"/>
          <w:b/>
          <w:bCs/>
          <w:sz w:val="24"/>
          <w:szCs w:val="24"/>
          <w:lang w:val="es-CO"/>
        </w:rPr>
        <w:t>Guainía (≈201.643 ha)</w:t>
      </w:r>
      <w:r>
        <w:rPr>
          <w:rFonts w:cs="Calibri"/>
          <w:sz w:val="24"/>
          <w:szCs w:val="24"/>
          <w:lang w:val="es-CO"/>
        </w:rPr>
        <w:t xml:space="preserve"> y </w:t>
      </w:r>
      <w:r>
        <w:rPr>
          <w:rFonts w:cs="Calibri"/>
          <w:b/>
          <w:bCs/>
          <w:sz w:val="24"/>
          <w:szCs w:val="24"/>
          <w:lang w:val="es-CO"/>
        </w:rPr>
        <w:t>Putumayo (≈117.975 ha)</w:t>
      </w:r>
      <w:r>
        <w:rPr>
          <w:rFonts w:cs="Calibri"/>
          <w:sz w:val="24"/>
          <w:szCs w:val="24"/>
          <w:lang w:val="es-CO"/>
        </w:rPr>
        <w:t xml:space="preserve">; el conjunto incluye minerales industriales y, en general, frentes de extracción que impactan ríos y bosques. </w:t>
      </w:r>
    </w:p>
    <w:p w:rsidR="00527B8C" w:rsidRDefault="00527B8C" w14:paraId="048631E0" w14:textId="77777777">
      <w:pPr>
        <w:pStyle w:val="Ttulo2"/>
        <w:spacing w:before="0" w:line="360" w:lineRule="auto"/>
        <w:ind w:firstLine="304" w:firstLineChars="126"/>
        <w:jc w:val="both"/>
        <w:rPr>
          <w:rFonts w:ascii="Calibri" w:hAnsi="Calibri" w:eastAsia="Calibri" w:cs="Calibri"/>
          <w:sz w:val="24"/>
          <w:szCs w:val="24"/>
          <w:lang w:val="es-CO"/>
        </w:rPr>
      </w:pPr>
    </w:p>
    <w:p w:rsidR="00527B8C" w:rsidRDefault="00212A57" w14:paraId="2B3403B1" w14:textId="77777777">
      <w:pPr>
        <w:pStyle w:val="Ttulo2"/>
        <w:spacing w:before="0" w:line="360" w:lineRule="auto"/>
        <w:jc w:val="both"/>
        <w:rPr>
          <w:rFonts w:ascii="Calibri" w:hAnsi="Calibri" w:eastAsia="Calibri" w:cs="Calibri"/>
          <w:sz w:val="24"/>
          <w:szCs w:val="24"/>
          <w:lang w:val="es-CO"/>
        </w:rPr>
      </w:pPr>
      <w:bookmarkStart w:name="_Toc1085090848" w:id="842214959"/>
      <w:r w:rsidRPr="53DEF7DD" w:rsidR="670101B5">
        <w:rPr>
          <w:rFonts w:ascii="Calibri" w:hAnsi="Calibri" w:eastAsia="Calibri" w:cs="Calibri"/>
          <w:sz w:val="24"/>
          <w:szCs w:val="24"/>
          <w:lang w:val="es-CO"/>
        </w:rPr>
        <w:t>4.2. Marco de acción política para la Amazonia</w:t>
      </w:r>
      <w:bookmarkEnd w:id="842214959"/>
    </w:p>
    <w:p w:rsidR="00527B8C" w:rsidRDefault="00212A57" w14:paraId="057E6250" w14:textId="77777777">
      <w:pPr>
        <w:pStyle w:val="Ttulo3"/>
        <w:spacing w:line="360" w:lineRule="auto"/>
        <w:jc w:val="both"/>
        <w:rPr>
          <w:rFonts w:ascii="Calibri" w:hAnsi="Calibri" w:eastAsia="Calibri" w:cs="Calibri"/>
          <w:sz w:val="24"/>
          <w:szCs w:val="24"/>
          <w:lang w:val="es-CO"/>
        </w:rPr>
      </w:pPr>
      <w:bookmarkStart w:name="_Toc504560089" w:id="1992054197"/>
      <w:r w:rsidRPr="53DEF7DD" w:rsidR="670101B5">
        <w:rPr>
          <w:sz w:val="24"/>
          <w:szCs w:val="24"/>
          <w:lang w:val="es-CO"/>
        </w:rPr>
        <w:t>4.2.1. Declaración de Bogotá (22 de agosto de 2025): Alcance y efectos esperados</w:t>
      </w:r>
      <w:bookmarkEnd w:id="1992054197"/>
    </w:p>
    <w:p w:rsidR="00527B8C" w:rsidRDefault="00212A57" w14:paraId="5C8E55B3" w14:textId="77777777">
      <w:pPr>
        <w:spacing w:before="300" w:after="300" w:line="360" w:lineRule="auto"/>
        <w:ind w:firstLine="302" w:firstLineChars="126"/>
        <w:jc w:val="both"/>
        <w:rPr>
          <w:rFonts w:cs="Calibri"/>
          <w:sz w:val="24"/>
          <w:szCs w:val="24"/>
          <w:lang w:val="es-CO"/>
        </w:rPr>
      </w:pPr>
      <w:r>
        <w:rPr>
          <w:rFonts w:cs="Calibri"/>
          <w:sz w:val="24"/>
          <w:szCs w:val="24"/>
          <w:lang w:val="es-CO"/>
        </w:rPr>
        <w:t>La V Reunión de presidentes de la OTCA en Bogotá adoptó la Declaración de Bogotá, que consolida 35 puntos para una posición amazónica conjunta de cara a la COP30 (Belém, 2025). El documento reafirma los compromisos de la Declaración de Belém (2023) y enfatiza: combate a delitos ambientales (incluida la minería ilegal), protección integral de pueblos indígenas (PIACI), transición energética justa y financiamiento estable (p. ej., el Fondo de Bosques Tropicales para Siempre – TFFF). Aunque no es norma interna</w:t>
      </w:r>
      <w:r>
        <w:rPr>
          <w:rFonts w:cs="Calibri"/>
          <w:sz w:val="24"/>
          <w:szCs w:val="24"/>
          <w:lang w:val="es-CO"/>
        </w:rPr>
        <w:t xml:space="preserve"> obligatoria, orienta políticas nacionales y cooperación transfronteriza, con potencial para endurecer controles a actividades extractivas que presionan ríos amazónicos (como materiales de arrastre informales).</w:t>
      </w:r>
      <w:r>
        <w:rPr>
          <w:rStyle w:val="Refdenotaalpie"/>
          <w:rFonts w:cs="Calibri"/>
          <w:sz w:val="24"/>
          <w:szCs w:val="24"/>
          <w:lang w:val="es-CO"/>
        </w:rPr>
        <w:footnoteReference w:id="30"/>
      </w:r>
    </w:p>
    <w:p w:rsidR="00527B8C" w:rsidRDefault="00212A57" w14:paraId="5B7AAE89" w14:textId="77777777">
      <w:pPr>
        <w:spacing w:after="0" w:line="360" w:lineRule="auto"/>
        <w:ind w:firstLine="302" w:firstLineChars="126"/>
        <w:jc w:val="both"/>
        <w:rPr>
          <w:rFonts w:cs="Calibri"/>
          <w:sz w:val="24"/>
          <w:szCs w:val="24"/>
          <w:lang w:val="es-CO"/>
        </w:rPr>
      </w:pPr>
      <w:r>
        <w:rPr>
          <w:rFonts w:cs="Calibri"/>
          <w:sz w:val="24"/>
          <w:szCs w:val="24"/>
          <w:lang w:val="es-CO"/>
        </w:rPr>
        <w:t xml:space="preserve">En lo práctico, la Declaración refuerza la narrativa de protección del bioma y la coordinación interestatal contra economías ilegales, abriendo espacio para acciones sincronizadas de control y financiamiento que afectan la tolerancia institucional frente a pasivos y nuevos frentes de extracción en la cuenca. </w:t>
      </w:r>
    </w:p>
    <w:p w:rsidR="00527B8C" w:rsidRDefault="00527B8C" w14:paraId="0C8696F0" w14:textId="77777777">
      <w:pPr>
        <w:pStyle w:val="Ttulo3"/>
        <w:keepNext w:val="0"/>
        <w:keepLines w:val="0"/>
        <w:spacing w:line="360" w:lineRule="auto"/>
        <w:jc w:val="both"/>
        <w:rPr>
          <w:sz w:val="24"/>
          <w:szCs w:val="24"/>
          <w:lang w:val="es-CO"/>
        </w:rPr>
      </w:pPr>
    </w:p>
    <w:p w:rsidR="00527B8C" w:rsidRDefault="00212A57" w14:paraId="22592E83" w14:textId="77777777">
      <w:pPr>
        <w:pStyle w:val="Ttulo3"/>
        <w:keepNext w:val="0"/>
        <w:keepLines w:val="0"/>
        <w:spacing w:line="360" w:lineRule="auto"/>
        <w:jc w:val="both"/>
        <w:rPr>
          <w:sz w:val="24"/>
          <w:szCs w:val="24"/>
          <w:lang w:val="es-CO"/>
        </w:rPr>
      </w:pPr>
      <w:bookmarkStart w:name="_Toc127888863" w:id="1626313251"/>
      <w:r w:rsidRPr="53DEF7DD" w:rsidR="670101B5">
        <w:rPr>
          <w:sz w:val="24"/>
          <w:szCs w:val="24"/>
          <w:lang w:val="es-CO"/>
        </w:rPr>
        <w:t>4.2.2. Declaratoria del bioma amazónico como Reserva de Recursos Naturales Renovables (2025)</w:t>
      </w:r>
      <w:bookmarkEnd w:id="1626313251"/>
    </w:p>
    <w:p w:rsidR="00527B8C" w:rsidRDefault="00212A57" w14:paraId="525A0957" w14:textId="77777777">
      <w:pPr>
        <w:spacing w:before="300" w:after="300" w:line="360" w:lineRule="auto"/>
        <w:ind w:firstLine="302" w:firstLineChars="126"/>
        <w:jc w:val="both"/>
        <w:rPr>
          <w:rFonts w:cs="Calibri"/>
          <w:sz w:val="24"/>
          <w:szCs w:val="24"/>
          <w:lang w:val="es-CO"/>
        </w:rPr>
      </w:pPr>
      <w:r>
        <w:rPr>
          <w:rFonts w:cs="Calibri"/>
          <w:sz w:val="24"/>
          <w:szCs w:val="24"/>
          <w:lang w:val="es-CO"/>
        </w:rPr>
        <w:t>En 2025, el Ministerio de Ambiente puso en consulta pública un proyecto de resolución para declarar todo el bioma amazónico de Colombia como Zona de Reserva de Recursos Naturales Renovables (≈483.000 km², ~42% del territorio continental), con el objetivo de restringir nuevas actividades extractivas convencionales, especialmente gran minería e hidrocarburos, en Amazonas, Caquetá, Guaviare, Guainía, Putumayo y Vaupés. Posteriormente, diversos medios reportaron la declaratoria y sus alcances.</w:t>
      </w:r>
      <w:r>
        <w:rPr>
          <w:rStyle w:val="Refdenotaalpie"/>
          <w:rFonts w:cs="Calibri"/>
          <w:sz w:val="24"/>
          <w:szCs w:val="24"/>
          <w:lang w:val="es-CO"/>
        </w:rPr>
        <w:footnoteReference w:id="31"/>
      </w:r>
    </w:p>
    <w:p w:rsidR="00527B8C" w:rsidRDefault="00212A57" w14:paraId="63253FD2" w14:textId="77777777">
      <w:pPr>
        <w:spacing w:before="300" w:after="300" w:line="360" w:lineRule="auto"/>
        <w:ind w:firstLine="302" w:firstLineChars="126"/>
        <w:jc w:val="both"/>
        <w:rPr>
          <w:rFonts w:cs="Calibri"/>
          <w:sz w:val="24"/>
          <w:szCs w:val="24"/>
          <w:lang w:val="es-CO"/>
        </w:rPr>
      </w:pPr>
      <w:r>
        <w:rPr>
          <w:rFonts w:cs="Calibri"/>
          <w:sz w:val="24"/>
          <w:szCs w:val="24"/>
          <w:lang w:val="es-CO"/>
        </w:rPr>
        <w:t xml:space="preserve">Los reportes destacan que la medida limita la expansión de contratos y nuevos títulos en zonas de alto valor ambiental, mencionando la existencia de 43 bloques de hidrocarburos y ≈286 solicitudes mineras cuya activación pondría en riesgo el equilibrio del bioma. En términos de materiales de construcción, la reserva eleva el estándar de escrutinio para nuevas solicitudes en la Amazonia, obligando a demostrar compatibilidad ecosistémica y no generación de impactos acumulativos en sistemas fluviales críticos; </w:t>
      </w:r>
      <w:r>
        <w:rPr>
          <w:rFonts w:cs="Calibri"/>
          <w:sz w:val="24"/>
          <w:szCs w:val="24"/>
          <w:lang w:val="es-CO"/>
        </w:rPr>
        <w:t xml:space="preserve">no necesariamente revoca títulos vigentes, pero condiciona cualquier modificación, ampliación o nuevos permisos bajo criterios precautorios. (Debes verificar el texto final y su entrada en vigor). </w:t>
      </w:r>
    </w:p>
    <w:p w:rsidR="00527B8C" w:rsidRDefault="00527B8C" w14:paraId="270E46BD" w14:textId="77777777">
      <w:pPr>
        <w:pStyle w:val="Ttulo3"/>
        <w:spacing w:line="360" w:lineRule="auto"/>
        <w:jc w:val="both"/>
        <w:rPr>
          <w:sz w:val="24"/>
          <w:szCs w:val="24"/>
          <w:lang w:val="es-CO"/>
        </w:rPr>
      </w:pPr>
    </w:p>
    <w:p w:rsidR="00527B8C" w:rsidRDefault="00212A57" w14:paraId="69BC8644" w14:textId="77777777">
      <w:pPr>
        <w:pStyle w:val="Ttulo3"/>
        <w:spacing w:line="360" w:lineRule="auto"/>
        <w:jc w:val="both"/>
        <w:rPr>
          <w:sz w:val="24"/>
          <w:szCs w:val="24"/>
          <w:lang w:val="es-CO"/>
        </w:rPr>
      </w:pPr>
      <w:bookmarkStart w:name="_Toc1333284432" w:id="62650457"/>
      <w:r w:rsidRPr="53DEF7DD" w:rsidR="670101B5">
        <w:rPr>
          <w:sz w:val="24"/>
          <w:szCs w:val="24"/>
          <w:lang w:val="es-CO"/>
        </w:rPr>
        <w:t>4.2.3. CONPES 4174 de 2025: “Recuperación de la selva amazónica y territorios estratégicos alrededor del agua”</w:t>
      </w:r>
      <w:bookmarkEnd w:id="62650457"/>
    </w:p>
    <w:p w:rsidR="00527B8C" w:rsidRDefault="00212A57" w14:paraId="0077D518" w14:textId="77777777">
      <w:pPr>
        <w:spacing w:before="300" w:after="300" w:line="360" w:lineRule="auto"/>
        <w:ind w:firstLine="302" w:firstLineChars="126"/>
        <w:jc w:val="both"/>
        <w:rPr>
          <w:rFonts w:cs="Calibri"/>
          <w:sz w:val="24"/>
          <w:szCs w:val="24"/>
          <w:lang w:val="es-CO"/>
        </w:rPr>
      </w:pPr>
      <w:r>
        <w:rPr>
          <w:rFonts w:cs="Calibri"/>
          <w:sz w:val="24"/>
          <w:szCs w:val="24"/>
          <w:lang w:val="es-CO"/>
        </w:rPr>
        <w:t>El CONPES 4174 (aprobado el 18 de noviembre de 2025) declara de importancia estratégica el proyecto de inversión BPIN 202500000022983, orientado a la recuperación de la selva amazónica y de territorios estratégicos del agua a nivel nacional (horizonte 2026–2035). El documento busca viabilizar recursos públicos y coordinación intersectorial para restauración, infraestructura verde, bioeconomía y reducción de deforestación en la Amazonia (y otros biomas), articulando ministerios y entidades (ANLA/DNP) y refor</w:t>
      </w:r>
      <w:r>
        <w:rPr>
          <w:rFonts w:cs="Calibri"/>
          <w:sz w:val="24"/>
          <w:szCs w:val="24"/>
          <w:lang w:val="es-CO"/>
        </w:rPr>
        <w:t xml:space="preserve">zando la priorización presupuestal en conservación y control. </w:t>
      </w:r>
      <w:r>
        <w:rPr>
          <w:rStyle w:val="Refdenotaalpie"/>
          <w:rFonts w:cs="Calibri"/>
          <w:sz w:val="24"/>
          <w:szCs w:val="24"/>
          <w:lang w:val="es-CO"/>
        </w:rPr>
        <w:footnoteReference w:id="32"/>
      </w:r>
    </w:p>
    <w:p w:rsidR="00527B8C" w:rsidP="00DD5AA1" w:rsidRDefault="00212A57" w14:paraId="1C93A95B" w14:textId="08163A3F">
      <w:pPr>
        <w:spacing w:after="0" w:line="360" w:lineRule="auto"/>
        <w:ind w:firstLine="302" w:firstLineChars="126"/>
        <w:jc w:val="both"/>
        <w:rPr>
          <w:rFonts w:cs="Calibri"/>
          <w:sz w:val="24"/>
          <w:szCs w:val="24"/>
          <w:lang w:val="es-CO"/>
        </w:rPr>
      </w:pPr>
      <w:r>
        <w:rPr>
          <w:rFonts w:cs="Calibri"/>
          <w:sz w:val="24"/>
          <w:szCs w:val="24"/>
          <w:lang w:val="es-CO"/>
        </w:rPr>
        <w:t xml:space="preserve">Para la extracción de materiales de construcción, el efecto sistémico del CONPES es incrementar exigencias de compatibilidad de proyectos con metas de recuperación forestal y seguridad hídrica, y facilitar la canalización de inversión hacia actividades alternativas (p. ej., restauración productiva, manejo de cuencas, cadenas de valor de bioeconomía) que desincentiven nuevos frentes extractivos en la selva. </w:t>
      </w:r>
    </w:p>
    <w:p w:rsidR="00527B8C" w:rsidRDefault="00212A57" w14:paraId="67D4D712" w14:textId="77777777">
      <w:pPr>
        <w:pStyle w:val="Ttulo3"/>
        <w:keepNext w:val="0"/>
        <w:keepLines w:val="0"/>
        <w:spacing w:before="0" w:line="360" w:lineRule="auto"/>
        <w:jc w:val="both"/>
        <w:rPr>
          <w:sz w:val="24"/>
          <w:szCs w:val="24"/>
          <w:lang w:val="es-CO"/>
        </w:rPr>
      </w:pPr>
      <w:bookmarkStart w:name="_Toc791291080" w:id="881335856"/>
      <w:r w:rsidRPr="53DEF7DD" w:rsidR="670101B5">
        <w:rPr>
          <w:sz w:val="24"/>
          <w:szCs w:val="24"/>
          <w:lang w:val="es-CO"/>
        </w:rPr>
        <w:t>4.2.3. Implicaciones para proyectos de materiales de construcción en la Amazonia</w:t>
      </w:r>
      <w:bookmarkEnd w:id="881335856"/>
    </w:p>
    <w:p w:rsidR="00527B8C" w:rsidRDefault="00527B8C" w14:paraId="6B4BA8E9" w14:textId="77777777">
      <w:pPr>
        <w:spacing w:after="0" w:line="360" w:lineRule="auto"/>
        <w:jc w:val="both"/>
        <w:rPr>
          <w:lang w:val="es-CO"/>
        </w:rPr>
      </w:pPr>
    </w:p>
    <w:p w:rsidR="00527B8C" w:rsidRDefault="00212A57" w14:paraId="509BF339" w14:textId="77777777">
      <w:pPr>
        <w:pStyle w:val="Prrafodelista"/>
        <w:numPr>
          <w:ilvl w:val="0"/>
          <w:numId w:val="35"/>
        </w:numPr>
        <w:spacing w:after="0" w:line="360" w:lineRule="auto"/>
        <w:ind w:firstLine="302" w:firstLineChars="126"/>
        <w:jc w:val="both"/>
        <w:rPr>
          <w:rFonts w:cs="Calibri"/>
          <w:sz w:val="24"/>
          <w:szCs w:val="24"/>
          <w:lang w:val="es-CO"/>
        </w:rPr>
      </w:pPr>
      <w:r>
        <w:rPr>
          <w:rFonts w:cs="Calibri"/>
          <w:sz w:val="24"/>
          <w:szCs w:val="24"/>
          <w:lang w:val="es-CO"/>
        </w:rPr>
        <w:t xml:space="preserve">Nuevas solicitudes en la Amazonia estarán sujetas a la reserva de recursos naturales (2025), lo que restringe la expansión extractiva y obliga a demostrar no afectación de conectividad ecológica y sistemas hídricos; revisar el acto final y su entrada en vigor antes de cualquier trámite. </w:t>
      </w:r>
    </w:p>
    <w:p w:rsidR="00527B8C" w:rsidRDefault="00212A57" w14:paraId="09CE9FDC" w14:textId="77777777">
      <w:pPr>
        <w:pStyle w:val="Prrafodelista"/>
        <w:numPr>
          <w:ilvl w:val="0"/>
          <w:numId w:val="35"/>
        </w:numPr>
        <w:spacing w:after="0" w:line="360" w:lineRule="auto"/>
        <w:ind w:firstLine="304" w:firstLineChars="126"/>
        <w:jc w:val="both"/>
        <w:rPr>
          <w:rFonts w:cs="Calibri"/>
          <w:sz w:val="24"/>
          <w:szCs w:val="24"/>
          <w:lang w:val="es-CO"/>
        </w:rPr>
      </w:pPr>
      <w:r>
        <w:rPr>
          <w:rFonts w:cs="Calibri"/>
          <w:b/>
          <w:bCs/>
          <w:sz w:val="24"/>
          <w:szCs w:val="24"/>
          <w:lang w:val="es-CO"/>
        </w:rPr>
        <w:t>Títulos vigentes</w:t>
      </w:r>
      <w:r>
        <w:rPr>
          <w:rFonts w:cs="Calibri"/>
          <w:sz w:val="24"/>
          <w:szCs w:val="24"/>
          <w:lang w:val="es-CO"/>
        </w:rPr>
        <w:t xml:space="preserve">: no se asume revocatoria automática, pero cabe esperar mayor vigilancia y condicionamientos para modificaciones/renovaciones (planes de manejo, monitoreo hidro‑geomorfológico, restauración). </w:t>
      </w:r>
    </w:p>
    <w:p w:rsidR="00527B8C" w:rsidRDefault="00212A57" w14:paraId="56D77FB4" w14:textId="77777777">
      <w:pPr>
        <w:pStyle w:val="Prrafodelista"/>
        <w:numPr>
          <w:ilvl w:val="0"/>
          <w:numId w:val="35"/>
        </w:numPr>
        <w:spacing w:after="0" w:line="360" w:lineRule="auto"/>
        <w:ind w:firstLine="304" w:firstLineChars="126"/>
        <w:jc w:val="both"/>
        <w:rPr>
          <w:rFonts w:cs="Calibri"/>
          <w:sz w:val="24"/>
          <w:szCs w:val="24"/>
          <w:lang w:val="es-CO"/>
        </w:rPr>
      </w:pPr>
      <w:r>
        <w:rPr>
          <w:rFonts w:cs="Calibri"/>
          <w:b/>
          <w:bCs/>
          <w:sz w:val="24"/>
          <w:szCs w:val="24"/>
          <w:lang w:val="es-CO"/>
        </w:rPr>
        <w:t>Debida diligencia</w:t>
      </w:r>
      <w:r>
        <w:rPr>
          <w:rFonts w:cs="Calibri"/>
          <w:sz w:val="24"/>
          <w:szCs w:val="24"/>
          <w:lang w:val="es-CO"/>
        </w:rPr>
        <w:t xml:space="preserve">: usar el Catastro ANM y el visor geográfico para validar estado de títulos/solicitudes, y cruzar con capas de ANP, TI y Zonas de Reserva Forestal; incorporar la Guía ANM (materiales de arrastre) en diseño técnico y reportes. </w:t>
      </w:r>
    </w:p>
    <w:p w:rsidR="00527B8C" w:rsidRDefault="00212A57" w14:paraId="244B12DB" w14:textId="77777777">
      <w:pPr>
        <w:pStyle w:val="Prrafodelista"/>
        <w:numPr>
          <w:ilvl w:val="0"/>
          <w:numId w:val="35"/>
        </w:numPr>
        <w:spacing w:after="0" w:line="360" w:lineRule="auto"/>
        <w:ind w:firstLine="304" w:firstLineChars="126"/>
        <w:jc w:val="both"/>
        <w:rPr>
          <w:rFonts w:cs="Calibri"/>
          <w:sz w:val="24"/>
          <w:szCs w:val="24"/>
          <w:lang w:val="es-CO"/>
        </w:rPr>
      </w:pPr>
      <w:r>
        <w:rPr>
          <w:rFonts w:cs="Calibri"/>
          <w:b/>
          <w:bCs/>
          <w:sz w:val="24"/>
          <w:szCs w:val="24"/>
          <w:lang w:val="es-CO"/>
        </w:rPr>
        <w:t>Alineación programática</w:t>
      </w:r>
      <w:r>
        <w:rPr>
          <w:rFonts w:cs="Calibri"/>
          <w:sz w:val="24"/>
          <w:szCs w:val="24"/>
          <w:lang w:val="es-CO"/>
        </w:rPr>
        <w:t xml:space="preserve">: considerar el CONPES 4174 como marco de política que prioriza recuperación y bioeconomía; proyectos deberán mostrar coherencia con metas de restauración y protección del agua. </w:t>
      </w:r>
    </w:p>
    <w:p w:rsidR="00527B8C" w:rsidRDefault="00212A57" w14:paraId="6F1F15B3" w14:textId="77777777">
      <w:pPr>
        <w:pStyle w:val="Prrafodelista"/>
        <w:numPr>
          <w:ilvl w:val="0"/>
          <w:numId w:val="35"/>
        </w:numPr>
        <w:spacing w:after="0" w:line="360" w:lineRule="auto"/>
        <w:ind w:firstLine="304" w:firstLineChars="126"/>
        <w:jc w:val="both"/>
        <w:rPr>
          <w:rFonts w:cs="Calibri"/>
          <w:sz w:val="24"/>
          <w:szCs w:val="24"/>
          <w:lang w:val="es-CO"/>
        </w:rPr>
      </w:pPr>
      <w:r>
        <w:rPr>
          <w:rFonts w:cs="Calibri"/>
          <w:b/>
          <w:bCs/>
          <w:sz w:val="24"/>
          <w:szCs w:val="24"/>
          <w:lang w:val="es-CO"/>
        </w:rPr>
        <w:t>Cooperación regional</w:t>
      </w:r>
      <w:r>
        <w:rPr>
          <w:rFonts w:cs="Calibri"/>
          <w:sz w:val="24"/>
          <w:szCs w:val="24"/>
          <w:lang w:val="es-CO"/>
        </w:rPr>
        <w:t>: la Declaración de Bogotá refuerza controles transfronterizos y cooperación contra minería ilegal; cualquier operación en frontera debe prever coordinación binacional y estándares elevados de trazabilidad y participación.</w:t>
      </w:r>
    </w:p>
    <w:p w:rsidR="00527B8C" w:rsidRDefault="00527B8C" w14:paraId="1690726F" w14:textId="77777777">
      <w:pPr>
        <w:spacing w:after="0" w:line="360" w:lineRule="auto"/>
        <w:ind w:firstLine="302" w:firstLineChars="126"/>
        <w:jc w:val="both"/>
        <w:rPr>
          <w:rFonts w:cs="Calibri"/>
          <w:sz w:val="24"/>
          <w:szCs w:val="24"/>
          <w:lang w:val="es-CO"/>
        </w:rPr>
      </w:pPr>
    </w:p>
    <w:p w:rsidR="00527B8C" w:rsidRDefault="00527B8C" w14:paraId="3E82D049" w14:textId="77777777">
      <w:pPr>
        <w:spacing w:after="0" w:line="360" w:lineRule="auto"/>
        <w:ind w:firstLine="302" w:firstLineChars="126"/>
        <w:jc w:val="both"/>
        <w:rPr>
          <w:rFonts w:cs="Calibri"/>
          <w:sz w:val="24"/>
          <w:szCs w:val="24"/>
          <w:lang w:val="es-CO"/>
        </w:rPr>
      </w:pPr>
    </w:p>
    <w:p w:rsidR="00527B8C" w:rsidRDefault="00212A57" w14:paraId="3B7D50B2" w14:textId="77777777">
      <w:pPr>
        <w:pStyle w:val="Ttulo2"/>
        <w:keepNext w:val="0"/>
        <w:keepLines w:val="0"/>
        <w:spacing w:before="0" w:line="360" w:lineRule="auto"/>
        <w:jc w:val="both"/>
        <w:rPr>
          <w:rFonts w:ascii="Calibri" w:hAnsi="Calibri" w:eastAsia="Calibri" w:cs="Calibri"/>
          <w:sz w:val="24"/>
          <w:szCs w:val="24"/>
          <w:lang w:val="es-CO"/>
        </w:rPr>
      </w:pPr>
      <w:bookmarkStart w:name="_Toc930233946" w:id="1313332635"/>
      <w:r w:rsidRPr="53DEF7DD" w:rsidR="670101B5">
        <w:rPr>
          <w:rFonts w:ascii="Calibri" w:hAnsi="Calibri" w:eastAsia="Calibri" w:cs="Calibri"/>
          <w:sz w:val="24"/>
          <w:szCs w:val="24"/>
          <w:lang w:val="es-CO"/>
        </w:rPr>
        <w:t>4.3. Impactos y conflictividad socioambiental asociados a materiales de construcción en la región:</w:t>
      </w:r>
      <w:bookmarkEnd w:id="1313332635"/>
    </w:p>
    <w:p w:rsidR="00527B8C" w:rsidRDefault="00212A57" w14:paraId="518D7DC7" w14:textId="77777777">
      <w:pPr>
        <w:pStyle w:val="Prrafodelista"/>
        <w:numPr>
          <w:ilvl w:val="0"/>
          <w:numId w:val="36"/>
        </w:numPr>
        <w:spacing w:after="0" w:line="360" w:lineRule="auto"/>
        <w:ind w:left="450" w:firstLine="304" w:firstLineChars="126"/>
        <w:jc w:val="both"/>
        <w:rPr>
          <w:rFonts w:cs="Calibri"/>
          <w:sz w:val="24"/>
          <w:szCs w:val="24"/>
          <w:lang w:val="es-CO"/>
        </w:rPr>
      </w:pPr>
      <w:r>
        <w:rPr>
          <w:rFonts w:cs="Calibri"/>
          <w:b/>
          <w:bCs/>
          <w:sz w:val="24"/>
          <w:szCs w:val="24"/>
          <w:lang w:val="es-CO"/>
        </w:rPr>
        <w:t>Geomorfología y ríos:</w:t>
      </w:r>
      <w:r>
        <w:rPr>
          <w:rFonts w:cs="Calibri"/>
          <w:sz w:val="24"/>
          <w:szCs w:val="24"/>
          <w:lang w:val="es-CO"/>
        </w:rPr>
        <w:t xml:space="preserve"> La extracción de arenas/gravas altera el balance de sedimentos, genera erosión y cambios en morfodinámica fluvial, aumentando vulnerabilidad a crecidas y afectando hábitats acuáticos; esto se vuelve crítico en ríos amazónicos con alta conectividad ecológica. </w:t>
      </w:r>
    </w:p>
    <w:p w:rsidR="00527B8C" w:rsidRDefault="00212A57" w14:paraId="3C1F0F37" w14:textId="77777777">
      <w:pPr>
        <w:pStyle w:val="Prrafodelista"/>
        <w:numPr>
          <w:ilvl w:val="0"/>
          <w:numId w:val="36"/>
        </w:numPr>
        <w:spacing w:after="0" w:line="360" w:lineRule="auto"/>
        <w:ind w:left="450" w:firstLine="304" w:firstLineChars="126"/>
        <w:jc w:val="both"/>
        <w:rPr>
          <w:rFonts w:cs="Calibri"/>
          <w:sz w:val="24"/>
          <w:szCs w:val="24"/>
          <w:lang w:val="es-CO"/>
        </w:rPr>
      </w:pPr>
      <w:r>
        <w:rPr>
          <w:rFonts w:cs="Calibri"/>
          <w:b/>
          <w:bCs/>
          <w:sz w:val="24"/>
          <w:szCs w:val="24"/>
          <w:lang w:val="es-CO"/>
        </w:rPr>
        <w:t>Superposición territorial:</w:t>
      </w:r>
      <w:r>
        <w:rPr>
          <w:rFonts w:cs="Calibri"/>
          <w:sz w:val="24"/>
          <w:szCs w:val="24"/>
          <w:lang w:val="es-CO"/>
        </w:rPr>
        <w:t xml:space="preserve"> La minería (legal/ilegal) se superpone con ANP y TI, incrementando riesgo de conflictos, con 9% de zonas mineras superpuestas en la Amazonia (2020) y predominio de la fase solicitud en la superposición con TI. </w:t>
      </w:r>
    </w:p>
    <w:p w:rsidR="00527B8C" w:rsidRDefault="00212A57" w14:paraId="0E97753E" w14:textId="77777777">
      <w:pPr>
        <w:pStyle w:val="Prrafodelista"/>
        <w:numPr>
          <w:ilvl w:val="0"/>
          <w:numId w:val="36"/>
        </w:numPr>
        <w:spacing w:after="0" w:line="360" w:lineRule="auto"/>
        <w:ind w:left="450" w:firstLine="304" w:firstLineChars="126"/>
        <w:jc w:val="both"/>
        <w:rPr>
          <w:rFonts w:cs="Calibri"/>
          <w:sz w:val="24"/>
          <w:szCs w:val="24"/>
          <w:lang w:val="es-CO"/>
        </w:rPr>
      </w:pPr>
      <w:r>
        <w:rPr>
          <w:rFonts w:cs="Calibri"/>
          <w:b/>
          <w:bCs/>
          <w:sz w:val="24"/>
          <w:szCs w:val="24"/>
          <w:lang w:val="es-CO"/>
        </w:rPr>
        <w:t>Impactos sociales y de salud:</w:t>
      </w:r>
      <w:r>
        <w:rPr>
          <w:rFonts w:cs="Calibri"/>
          <w:sz w:val="24"/>
          <w:szCs w:val="24"/>
          <w:lang w:val="es-CO"/>
        </w:rPr>
        <w:t xml:space="preserve"> Estudios del SINCHI y reportes de Defensoría documentan tensiones por consulta previa, pasivos ambientales, afectación de medios de vida y riesgos a líderes y comunidades, además de una alta conflictividad en el sector minero‑energético (incremento de 46% en 2023).  </w:t>
      </w:r>
    </w:p>
    <w:p w:rsidR="00527B8C" w:rsidRDefault="00212A57" w14:paraId="63799134" w14:textId="77777777">
      <w:pPr>
        <w:pStyle w:val="Prrafodelista"/>
        <w:numPr>
          <w:ilvl w:val="0"/>
          <w:numId w:val="36"/>
        </w:numPr>
        <w:spacing w:after="0" w:line="360" w:lineRule="auto"/>
        <w:ind w:left="450" w:firstLine="304" w:firstLineChars="126"/>
        <w:jc w:val="both"/>
        <w:rPr>
          <w:rFonts w:cs="Calibri"/>
          <w:sz w:val="24"/>
          <w:szCs w:val="24"/>
          <w:lang w:val="es-CO"/>
        </w:rPr>
      </w:pPr>
      <w:r>
        <w:rPr>
          <w:rFonts w:cs="Calibri"/>
          <w:b/>
          <w:bCs/>
          <w:sz w:val="24"/>
          <w:szCs w:val="24"/>
          <w:lang w:val="es-CO"/>
        </w:rPr>
        <w:t>Dinámicas regionales:</w:t>
      </w:r>
      <w:r>
        <w:rPr>
          <w:rFonts w:cs="Calibri"/>
          <w:sz w:val="24"/>
          <w:szCs w:val="24"/>
          <w:lang w:val="es-CO"/>
        </w:rPr>
        <w:t xml:space="preserve"> El Observatorio de Conflictos Socioambientales (FCDS) ha georreferenciado conflictos y deforestación en la Amazonia colombiana, ofreciendo indicadores y casos que evidencian cómo la apertura de frentes extractivos (incluidos materiales) se relaciona con pérdida de bosque, presión sobre fuentes hídricas y gobernanza. </w:t>
      </w:r>
    </w:p>
    <w:p w:rsidR="00527B8C" w:rsidRDefault="00527B8C" w14:paraId="49C4753F" w14:textId="77777777">
      <w:pPr>
        <w:spacing w:line="360" w:lineRule="auto"/>
        <w:ind w:left="450" w:hanging="450"/>
        <w:jc w:val="both"/>
        <w:rPr>
          <w:rFonts w:cs="Calibri"/>
          <w:sz w:val="24"/>
          <w:szCs w:val="24"/>
          <w:lang w:val="es-CO"/>
        </w:rPr>
      </w:pPr>
    </w:p>
    <w:p w:rsidR="00527B8C" w:rsidRDefault="00212A57" w14:paraId="10D2C74F" w14:textId="77777777">
      <w:pPr>
        <w:pStyle w:val="Ttulo2"/>
        <w:spacing w:before="0" w:line="360" w:lineRule="auto"/>
        <w:jc w:val="both"/>
        <w:rPr>
          <w:rFonts w:ascii="Calibri" w:hAnsi="Calibri" w:eastAsia="Calibri" w:cs="Calibri"/>
          <w:sz w:val="24"/>
          <w:szCs w:val="24"/>
          <w:lang w:val="es-CO"/>
        </w:rPr>
      </w:pPr>
      <w:bookmarkStart w:name="_Toc1237910370" w:id="1102116492"/>
      <w:r w:rsidRPr="53DEF7DD" w:rsidR="670101B5">
        <w:rPr>
          <w:rFonts w:ascii="Calibri" w:hAnsi="Calibri" w:eastAsia="Calibri" w:cs="Calibri"/>
          <w:sz w:val="24"/>
          <w:szCs w:val="24"/>
          <w:lang w:val="es-CO"/>
        </w:rPr>
        <w:t>4.4. Sitios de Extracción en la Amazonía Colombiana</w:t>
      </w:r>
      <w:bookmarkEnd w:id="1102116492"/>
    </w:p>
    <w:p w:rsidR="002352AE" w:rsidP="002352AE" w:rsidRDefault="002352AE" w14:paraId="28605473" w14:textId="77777777">
      <w:pPr>
        <w:spacing w:line="360" w:lineRule="auto"/>
        <w:ind w:firstLine="720"/>
        <w:jc w:val="both"/>
        <w:rPr>
          <w:rFonts w:cs="Calibri"/>
          <w:sz w:val="24"/>
          <w:szCs w:val="24"/>
          <w:lang w:val="es-CO"/>
        </w:rPr>
      </w:pPr>
    </w:p>
    <w:p w:rsidRPr="00FF0A40" w:rsidR="002352AE" w:rsidP="002352AE" w:rsidRDefault="002352AE" w14:paraId="5799773C" w14:textId="3CBC8C54">
      <w:pPr>
        <w:spacing w:line="360" w:lineRule="auto"/>
        <w:ind w:firstLine="720"/>
        <w:jc w:val="both"/>
        <w:rPr>
          <w:rFonts w:cs="Calibri"/>
          <w:sz w:val="24"/>
          <w:szCs w:val="24"/>
          <w:lang w:val="es-CO"/>
        </w:rPr>
      </w:pPr>
      <w:r w:rsidRPr="00FF0A40">
        <w:rPr>
          <w:rFonts w:cs="Calibri"/>
          <w:sz w:val="24"/>
          <w:szCs w:val="24"/>
          <w:lang w:val="es-CO"/>
        </w:rPr>
        <w:t>Si bien las fuentes secundarias de información —de origen oficial, académico o provenientes de consultorías— no reportan grandes volúmenes de extracción de material de arrastre en la región amazónica, al analizar la cantidad de kilómetros de vías, puertos y obras complementarias construidas en la región desde el año 2000 hasta la fecha, encontramos que solo las vías legales suman más de 700 kilómetros, mientras que las vías ilegales alcanzan cerca de 28.000 kilómetros. En total, se han construido aproximadamente 28.700 kilómetros de vías.</w:t>
      </w:r>
    </w:p>
    <w:p w:rsidRPr="002352AE" w:rsidR="002352AE" w:rsidP="002352AE" w:rsidRDefault="002352AE" w14:paraId="35802A50" w14:textId="77777777">
      <w:pPr>
        <w:spacing w:line="360" w:lineRule="auto"/>
        <w:jc w:val="both"/>
        <w:rPr>
          <w:rFonts w:cs="Calibri"/>
          <w:sz w:val="24"/>
          <w:szCs w:val="24"/>
          <w:lang w:val="es-CO"/>
        </w:rPr>
      </w:pPr>
      <w:r w:rsidRPr="00FF0A40">
        <w:rPr>
          <w:rFonts w:cs="Calibri"/>
          <w:sz w:val="24"/>
          <w:szCs w:val="24"/>
          <w:lang w:val="es-CO"/>
        </w:rPr>
        <w:t>Si multiplicamos estos 28.700 kilómetros por el volumen promedio de material requerido para el afirmado, la subbase, la base y la capa de rodadura en vías de 6 metros de ancho —estimado en 4.200 m³ por kilómetro—, obtenemos que para estas vías (sin incluir puentes ni obras de arte) se han extraído más de 120.540.000 metros cúbicos de material de arrastre.</w:t>
      </w:r>
    </w:p>
    <w:p w:rsidRPr="002352AE" w:rsidR="002352AE" w:rsidP="002352AE" w:rsidRDefault="002352AE" w14:paraId="10E42006" w14:textId="77777777">
      <w:pPr>
        <w:jc w:val="both"/>
        <w:rPr>
          <w:rFonts w:cs="Calibri"/>
          <w:sz w:val="24"/>
          <w:szCs w:val="24"/>
          <w:lang w:val="es-CO"/>
        </w:rPr>
      </w:pPr>
      <w:r w:rsidRPr="002352AE">
        <w:rPr>
          <w:rFonts w:cs="Calibri"/>
          <w:sz w:val="24"/>
          <w:szCs w:val="24"/>
          <w:lang w:val="es-CO"/>
        </w:rPr>
        <w:t>Miremos los detalles en las siguientes tablas.</w:t>
      </w:r>
    </w:p>
    <w:p w:rsidR="002352AE" w:rsidP="002352AE" w:rsidRDefault="002352AE" w14:paraId="13A32F92" w14:textId="1D9E1517">
      <w:pPr>
        <w:pStyle w:val="Descripcin"/>
        <w:spacing w:after="160"/>
        <w:jc w:val="center"/>
        <w:rPr>
          <w:sz w:val="20"/>
          <w:szCs w:val="20"/>
        </w:rPr>
      </w:pPr>
      <w:bookmarkStart w:name="_Toc216558746" w:id="36"/>
      <w:r w:rsidRPr="002352AE">
        <w:rPr>
          <w:sz w:val="20"/>
          <w:szCs w:val="20"/>
        </w:rPr>
        <w:t xml:space="preserve">Tabla </w:t>
      </w:r>
      <w:r w:rsidRPr="002352AE">
        <w:rPr>
          <w:sz w:val="20"/>
          <w:szCs w:val="20"/>
        </w:rPr>
        <w:fldChar w:fldCharType="begin"/>
      </w:r>
      <w:r w:rsidRPr="002352AE">
        <w:rPr>
          <w:sz w:val="20"/>
          <w:szCs w:val="20"/>
        </w:rPr>
        <w:instrText xml:space="preserve"> SEQ Tabla \* ARABIC </w:instrText>
      </w:r>
      <w:r w:rsidRPr="002352AE">
        <w:rPr>
          <w:sz w:val="20"/>
          <w:szCs w:val="20"/>
        </w:rPr>
        <w:fldChar w:fldCharType="separate"/>
      </w:r>
      <w:r w:rsidR="00EE79CE">
        <w:rPr>
          <w:noProof/>
          <w:sz w:val="20"/>
          <w:szCs w:val="20"/>
        </w:rPr>
        <w:t>2</w:t>
      </w:r>
      <w:r w:rsidRPr="002352AE">
        <w:rPr>
          <w:sz w:val="20"/>
          <w:szCs w:val="20"/>
        </w:rPr>
        <w:fldChar w:fldCharType="end"/>
      </w:r>
      <w:r w:rsidRPr="002352AE">
        <w:rPr>
          <w:sz w:val="20"/>
          <w:szCs w:val="20"/>
        </w:rPr>
        <w:t xml:space="preserve"> IIRSA – Amazonas, Caquetá y Putumayo (2000–2025): Resumen de obras con métricas y fuentes</w:t>
      </w:r>
      <w:bookmarkEnd w:id="36"/>
    </w:p>
    <w:tbl>
      <w:tblPr>
        <w:tblStyle w:val="Tablaconcuadrcula"/>
        <w:tblW w:w="0" w:type="auto"/>
        <w:tblLook w:val="04A0" w:firstRow="1" w:lastRow="0" w:firstColumn="1" w:lastColumn="0" w:noHBand="0" w:noVBand="1"/>
      </w:tblPr>
      <w:tblGrid>
        <w:gridCol w:w="1432"/>
        <w:gridCol w:w="1892"/>
        <w:gridCol w:w="1544"/>
        <w:gridCol w:w="1305"/>
        <w:gridCol w:w="1719"/>
        <w:gridCol w:w="1458"/>
      </w:tblGrid>
      <w:tr w:rsidRPr="00481485" w:rsidR="002352AE" w:rsidTr="002352AE" w14:paraId="261A1AF3" w14:textId="77777777">
        <w:trPr>
          <w:trHeight w:val="300"/>
        </w:trPr>
        <w:tc>
          <w:tcPr>
            <w:tcW w:w="1423" w:type="dxa"/>
            <w:shd w:val="clear" w:color="auto" w:fill="002060"/>
            <w:noWrap/>
            <w:vAlign w:val="center"/>
            <w:hideMark/>
          </w:tcPr>
          <w:p w:rsidRPr="00481485" w:rsidR="002352AE" w:rsidP="002352AE" w:rsidRDefault="002352AE" w14:paraId="02C8F0DD" w14:textId="77777777">
            <w:pPr>
              <w:spacing w:after="0" w:line="240" w:lineRule="auto"/>
              <w:jc w:val="center"/>
              <w:rPr>
                <w:b/>
                <w:bCs/>
                <w:sz w:val="20"/>
                <w:szCs w:val="20"/>
                <w:lang w:val="en-US"/>
              </w:rPr>
            </w:pPr>
            <w:r w:rsidRPr="00481485">
              <w:rPr>
                <w:b/>
                <w:bCs/>
                <w:sz w:val="20"/>
                <w:szCs w:val="20"/>
                <w:lang w:val="en-US"/>
              </w:rPr>
              <w:t>Departamento</w:t>
            </w:r>
          </w:p>
        </w:tc>
        <w:tc>
          <w:tcPr>
            <w:tcW w:w="1912" w:type="dxa"/>
            <w:shd w:val="clear" w:color="auto" w:fill="002060"/>
            <w:noWrap/>
            <w:vAlign w:val="center"/>
            <w:hideMark/>
          </w:tcPr>
          <w:p w:rsidRPr="00481485" w:rsidR="002352AE" w:rsidP="002352AE" w:rsidRDefault="002352AE" w14:paraId="71CCF35F" w14:textId="77777777">
            <w:pPr>
              <w:spacing w:after="0" w:line="240" w:lineRule="auto"/>
              <w:jc w:val="center"/>
              <w:rPr>
                <w:b/>
                <w:bCs/>
                <w:sz w:val="20"/>
                <w:szCs w:val="20"/>
                <w:lang w:val="en-US"/>
              </w:rPr>
            </w:pPr>
            <w:r w:rsidRPr="00481485">
              <w:rPr>
                <w:b/>
                <w:bCs/>
                <w:sz w:val="20"/>
                <w:szCs w:val="20"/>
                <w:lang w:val="en-US"/>
              </w:rPr>
              <w:t>Proyecto / Tramo</w:t>
            </w:r>
          </w:p>
        </w:tc>
        <w:tc>
          <w:tcPr>
            <w:tcW w:w="1535" w:type="dxa"/>
            <w:shd w:val="clear" w:color="auto" w:fill="002060"/>
            <w:noWrap/>
            <w:vAlign w:val="center"/>
            <w:hideMark/>
          </w:tcPr>
          <w:p w:rsidRPr="00481485" w:rsidR="002352AE" w:rsidP="002352AE" w:rsidRDefault="002352AE" w14:paraId="5EA18058" w14:textId="77777777">
            <w:pPr>
              <w:spacing w:after="0" w:line="240" w:lineRule="auto"/>
              <w:jc w:val="center"/>
              <w:rPr>
                <w:b/>
                <w:bCs/>
                <w:sz w:val="20"/>
                <w:szCs w:val="20"/>
                <w:lang w:val="en-US"/>
              </w:rPr>
            </w:pPr>
            <w:r w:rsidRPr="00481485">
              <w:rPr>
                <w:b/>
                <w:bCs/>
                <w:sz w:val="20"/>
                <w:szCs w:val="20"/>
                <w:lang w:val="en-US"/>
              </w:rPr>
              <w:t>Vías (km)</w:t>
            </w:r>
          </w:p>
        </w:tc>
        <w:tc>
          <w:tcPr>
            <w:tcW w:w="1298" w:type="dxa"/>
            <w:shd w:val="clear" w:color="auto" w:fill="002060"/>
            <w:vAlign w:val="center"/>
            <w:hideMark/>
          </w:tcPr>
          <w:p w:rsidRPr="00481485" w:rsidR="002352AE" w:rsidP="002352AE" w:rsidRDefault="002352AE" w14:paraId="74C5920C" w14:textId="77777777">
            <w:pPr>
              <w:spacing w:after="0" w:line="240" w:lineRule="auto"/>
              <w:jc w:val="center"/>
              <w:rPr>
                <w:b/>
                <w:bCs/>
                <w:sz w:val="20"/>
                <w:szCs w:val="20"/>
                <w:lang w:val="en-US"/>
              </w:rPr>
            </w:pPr>
            <w:r w:rsidRPr="00481485">
              <w:rPr>
                <w:b/>
                <w:bCs/>
                <w:sz w:val="20"/>
                <w:szCs w:val="20"/>
                <w:lang w:val="en-US"/>
              </w:rPr>
              <w:t>Puentes (long.)</w:t>
            </w:r>
          </w:p>
        </w:tc>
        <w:tc>
          <w:tcPr>
            <w:tcW w:w="1709" w:type="dxa"/>
            <w:shd w:val="clear" w:color="auto" w:fill="002060"/>
            <w:noWrap/>
            <w:vAlign w:val="center"/>
            <w:hideMark/>
          </w:tcPr>
          <w:p w:rsidRPr="00481485" w:rsidR="002352AE" w:rsidP="002352AE" w:rsidRDefault="002352AE" w14:paraId="5A80CDA5" w14:textId="77777777">
            <w:pPr>
              <w:spacing w:after="0" w:line="240" w:lineRule="auto"/>
              <w:jc w:val="center"/>
              <w:rPr>
                <w:b/>
                <w:bCs/>
                <w:sz w:val="20"/>
                <w:szCs w:val="20"/>
                <w:lang w:val="en-US"/>
              </w:rPr>
            </w:pPr>
            <w:r w:rsidRPr="00481485">
              <w:rPr>
                <w:b/>
                <w:bCs/>
                <w:sz w:val="20"/>
                <w:szCs w:val="20"/>
                <w:lang w:val="en-US"/>
              </w:rPr>
              <w:t>Estado</w:t>
            </w:r>
          </w:p>
        </w:tc>
        <w:tc>
          <w:tcPr>
            <w:tcW w:w="1473" w:type="dxa"/>
            <w:shd w:val="clear" w:color="auto" w:fill="002060"/>
            <w:noWrap/>
            <w:vAlign w:val="center"/>
            <w:hideMark/>
          </w:tcPr>
          <w:p w:rsidRPr="00481485" w:rsidR="002352AE" w:rsidP="002352AE" w:rsidRDefault="002352AE" w14:paraId="1A5E1360" w14:textId="77777777">
            <w:pPr>
              <w:spacing w:after="0" w:line="240" w:lineRule="auto"/>
              <w:jc w:val="center"/>
              <w:rPr>
                <w:b/>
                <w:bCs/>
                <w:sz w:val="20"/>
                <w:szCs w:val="20"/>
                <w:lang w:val="en-US"/>
              </w:rPr>
            </w:pPr>
            <w:r w:rsidRPr="00481485">
              <w:rPr>
                <w:b/>
                <w:bCs/>
                <w:sz w:val="20"/>
                <w:szCs w:val="20"/>
                <w:lang w:val="en-US"/>
              </w:rPr>
              <w:t>Fuente</w:t>
            </w:r>
          </w:p>
        </w:tc>
      </w:tr>
      <w:tr w:rsidRPr="00481485" w:rsidR="002352AE" w:rsidTr="002352AE" w14:paraId="6AE304C9" w14:textId="77777777">
        <w:trPr>
          <w:trHeight w:val="765"/>
        </w:trPr>
        <w:tc>
          <w:tcPr>
            <w:tcW w:w="1423" w:type="dxa"/>
            <w:noWrap/>
            <w:vAlign w:val="center"/>
            <w:hideMark/>
          </w:tcPr>
          <w:p w:rsidRPr="00481485" w:rsidR="002352AE" w:rsidP="002352AE" w:rsidRDefault="002352AE" w14:paraId="5288A448" w14:textId="77777777">
            <w:pPr>
              <w:spacing w:after="0" w:line="240" w:lineRule="auto"/>
              <w:jc w:val="both"/>
              <w:rPr>
                <w:bCs/>
                <w:sz w:val="20"/>
                <w:szCs w:val="20"/>
                <w:lang w:val="en-US"/>
              </w:rPr>
            </w:pPr>
            <w:r w:rsidRPr="00481485">
              <w:rPr>
                <w:bCs/>
                <w:sz w:val="20"/>
                <w:szCs w:val="20"/>
                <w:lang w:val="en-US"/>
              </w:rPr>
              <w:t>Putumayo</w:t>
            </w:r>
          </w:p>
        </w:tc>
        <w:tc>
          <w:tcPr>
            <w:tcW w:w="1912" w:type="dxa"/>
            <w:vAlign w:val="center"/>
            <w:hideMark/>
          </w:tcPr>
          <w:p w:rsidRPr="00481485" w:rsidR="002352AE" w:rsidP="002352AE" w:rsidRDefault="002352AE" w14:paraId="5F134D59" w14:textId="77777777">
            <w:pPr>
              <w:spacing w:after="0" w:line="240" w:lineRule="auto"/>
              <w:jc w:val="both"/>
              <w:rPr>
                <w:bCs/>
                <w:sz w:val="20"/>
                <w:szCs w:val="20"/>
                <w:lang w:val="es-CO"/>
              </w:rPr>
            </w:pPr>
            <w:r w:rsidRPr="00481485">
              <w:rPr>
                <w:bCs/>
                <w:sz w:val="20"/>
                <w:szCs w:val="20"/>
                <w:lang w:val="es-CO"/>
              </w:rPr>
              <w:t>San Miguel – Santana (Marginal de la Selva / Troncal del Piedemonte)</w:t>
            </w:r>
          </w:p>
        </w:tc>
        <w:tc>
          <w:tcPr>
            <w:tcW w:w="1535" w:type="dxa"/>
            <w:vAlign w:val="center"/>
            <w:hideMark/>
          </w:tcPr>
          <w:p w:rsidRPr="00481485" w:rsidR="002352AE" w:rsidP="002352AE" w:rsidRDefault="002352AE" w14:paraId="028B3E74" w14:textId="77777777">
            <w:pPr>
              <w:spacing w:after="0" w:line="240" w:lineRule="auto"/>
              <w:jc w:val="both"/>
              <w:rPr>
                <w:bCs/>
                <w:sz w:val="20"/>
                <w:szCs w:val="20"/>
                <w:lang w:val="en-US"/>
              </w:rPr>
            </w:pPr>
            <w:r w:rsidRPr="00481485">
              <w:rPr>
                <w:bCs/>
                <w:sz w:val="20"/>
                <w:szCs w:val="20"/>
                <w:lang w:val="en-US"/>
              </w:rPr>
              <w:t>62 km pavimentados</w:t>
            </w:r>
          </w:p>
        </w:tc>
        <w:tc>
          <w:tcPr>
            <w:tcW w:w="1298" w:type="dxa"/>
            <w:vAlign w:val="center"/>
            <w:hideMark/>
          </w:tcPr>
          <w:p w:rsidRPr="00481485" w:rsidR="002352AE" w:rsidP="002352AE" w:rsidRDefault="002352AE" w14:paraId="32E7A9EE" w14:textId="77777777">
            <w:pPr>
              <w:spacing w:after="0" w:line="240" w:lineRule="auto"/>
              <w:jc w:val="both"/>
              <w:rPr>
                <w:bCs/>
                <w:sz w:val="20"/>
                <w:szCs w:val="20"/>
                <w:lang w:val="en-US"/>
              </w:rPr>
            </w:pPr>
            <w:r w:rsidRPr="00481485">
              <w:rPr>
                <w:bCs/>
                <w:sz w:val="20"/>
                <w:szCs w:val="20"/>
                <w:lang w:val="en-US"/>
              </w:rPr>
              <w:t>8 puentes</w:t>
            </w:r>
          </w:p>
        </w:tc>
        <w:tc>
          <w:tcPr>
            <w:tcW w:w="1709" w:type="dxa"/>
            <w:vAlign w:val="center"/>
            <w:hideMark/>
          </w:tcPr>
          <w:p w:rsidRPr="00481485" w:rsidR="002352AE" w:rsidP="002352AE" w:rsidRDefault="002352AE" w14:paraId="7C6ED55E" w14:textId="77777777">
            <w:pPr>
              <w:spacing w:after="0" w:line="240" w:lineRule="auto"/>
              <w:jc w:val="both"/>
              <w:rPr>
                <w:bCs/>
                <w:sz w:val="20"/>
                <w:szCs w:val="20"/>
                <w:lang w:val="en-US"/>
              </w:rPr>
            </w:pPr>
            <w:r w:rsidRPr="00481485">
              <w:rPr>
                <w:bCs/>
                <w:sz w:val="20"/>
                <w:szCs w:val="20"/>
                <w:lang w:val="en-US"/>
              </w:rPr>
              <w:t>Ejecutado (fase)</w:t>
            </w:r>
          </w:p>
        </w:tc>
        <w:tc>
          <w:tcPr>
            <w:tcW w:w="1473" w:type="dxa"/>
            <w:vAlign w:val="center"/>
            <w:hideMark/>
          </w:tcPr>
          <w:p w:rsidRPr="00481485" w:rsidR="002352AE" w:rsidP="002352AE" w:rsidRDefault="002352AE" w14:paraId="42FC7A0C" w14:textId="77777777">
            <w:pPr>
              <w:spacing w:after="0" w:line="240" w:lineRule="auto"/>
              <w:jc w:val="both"/>
              <w:rPr>
                <w:bCs/>
                <w:sz w:val="20"/>
                <w:szCs w:val="20"/>
                <w:lang w:val="en-US"/>
              </w:rPr>
            </w:pPr>
            <w:r w:rsidRPr="00481485">
              <w:rPr>
                <w:bCs/>
                <w:sz w:val="20"/>
                <w:szCs w:val="20"/>
                <w:lang w:val="en-US"/>
              </w:rPr>
              <w:t>El Tiempo / MiPutumayo</w:t>
            </w:r>
          </w:p>
        </w:tc>
      </w:tr>
      <w:tr w:rsidRPr="00481485" w:rsidR="002352AE" w:rsidTr="002352AE" w14:paraId="40BC477C" w14:textId="77777777">
        <w:trPr>
          <w:trHeight w:val="765"/>
        </w:trPr>
        <w:tc>
          <w:tcPr>
            <w:tcW w:w="1423" w:type="dxa"/>
            <w:noWrap/>
            <w:vAlign w:val="center"/>
            <w:hideMark/>
          </w:tcPr>
          <w:p w:rsidRPr="00481485" w:rsidR="002352AE" w:rsidP="002352AE" w:rsidRDefault="002352AE" w14:paraId="223B7879" w14:textId="77777777">
            <w:pPr>
              <w:spacing w:after="0" w:line="240" w:lineRule="auto"/>
              <w:jc w:val="both"/>
              <w:rPr>
                <w:bCs/>
                <w:sz w:val="20"/>
                <w:szCs w:val="20"/>
                <w:lang w:val="en-US"/>
              </w:rPr>
            </w:pPr>
            <w:r w:rsidRPr="00481485">
              <w:rPr>
                <w:bCs/>
                <w:sz w:val="20"/>
                <w:szCs w:val="20"/>
                <w:lang w:val="en-US"/>
              </w:rPr>
              <w:t>Caquetá–Putumayo</w:t>
            </w:r>
          </w:p>
        </w:tc>
        <w:tc>
          <w:tcPr>
            <w:tcW w:w="1912" w:type="dxa"/>
            <w:vAlign w:val="center"/>
            <w:hideMark/>
          </w:tcPr>
          <w:p w:rsidRPr="00481485" w:rsidR="002352AE" w:rsidP="002352AE" w:rsidRDefault="002352AE" w14:paraId="5E8991B2" w14:textId="77777777">
            <w:pPr>
              <w:spacing w:after="0" w:line="240" w:lineRule="auto"/>
              <w:jc w:val="both"/>
              <w:rPr>
                <w:bCs/>
                <w:sz w:val="20"/>
                <w:szCs w:val="20"/>
                <w:lang w:val="es-CO"/>
              </w:rPr>
            </w:pPr>
            <w:r w:rsidRPr="00481485">
              <w:rPr>
                <w:bCs/>
                <w:sz w:val="20"/>
                <w:szCs w:val="20"/>
                <w:lang w:val="es-CO"/>
              </w:rPr>
              <w:t>Villa Garzón – San José del Fragua + Puente sobre el río Caquetá</w:t>
            </w:r>
          </w:p>
        </w:tc>
        <w:tc>
          <w:tcPr>
            <w:tcW w:w="1535" w:type="dxa"/>
            <w:vAlign w:val="center"/>
            <w:hideMark/>
          </w:tcPr>
          <w:p w:rsidRPr="00481485" w:rsidR="002352AE" w:rsidP="002352AE" w:rsidRDefault="002352AE" w14:paraId="5EA74E67" w14:textId="77777777">
            <w:pPr>
              <w:spacing w:after="0" w:line="240" w:lineRule="auto"/>
              <w:jc w:val="both"/>
              <w:rPr>
                <w:bCs/>
                <w:sz w:val="20"/>
                <w:szCs w:val="20"/>
                <w:lang w:val="en-US"/>
              </w:rPr>
            </w:pPr>
            <w:r w:rsidRPr="00481485">
              <w:rPr>
                <w:bCs/>
                <w:sz w:val="20"/>
                <w:szCs w:val="20"/>
                <w:lang w:val="en-US"/>
              </w:rPr>
              <w:t>50 km (mejoramiento /pavimentación)</w:t>
            </w:r>
          </w:p>
        </w:tc>
        <w:tc>
          <w:tcPr>
            <w:tcW w:w="1298" w:type="dxa"/>
            <w:vAlign w:val="center"/>
            <w:hideMark/>
          </w:tcPr>
          <w:p w:rsidRPr="00481485" w:rsidR="002352AE" w:rsidP="002352AE" w:rsidRDefault="002352AE" w14:paraId="53779F1B" w14:textId="77777777">
            <w:pPr>
              <w:spacing w:after="0" w:line="240" w:lineRule="auto"/>
              <w:jc w:val="both"/>
              <w:rPr>
                <w:bCs/>
                <w:sz w:val="20"/>
                <w:szCs w:val="20"/>
                <w:lang w:val="en-US"/>
              </w:rPr>
            </w:pPr>
            <w:r w:rsidRPr="00481485">
              <w:rPr>
                <w:bCs/>
                <w:sz w:val="20"/>
                <w:szCs w:val="20"/>
                <w:lang w:val="en-US"/>
              </w:rPr>
              <w:t>Puente ≈1,2 km</w:t>
            </w:r>
          </w:p>
        </w:tc>
        <w:tc>
          <w:tcPr>
            <w:tcW w:w="1709" w:type="dxa"/>
            <w:vAlign w:val="center"/>
            <w:hideMark/>
          </w:tcPr>
          <w:p w:rsidRPr="00481485" w:rsidR="002352AE" w:rsidP="002352AE" w:rsidRDefault="002352AE" w14:paraId="2F1FB8E9" w14:textId="77777777">
            <w:pPr>
              <w:spacing w:after="0" w:line="240" w:lineRule="auto"/>
              <w:jc w:val="both"/>
              <w:rPr>
                <w:bCs/>
                <w:sz w:val="20"/>
                <w:szCs w:val="20"/>
                <w:lang w:val="en-US"/>
              </w:rPr>
            </w:pPr>
            <w:r w:rsidRPr="00481485">
              <w:rPr>
                <w:bCs/>
                <w:sz w:val="20"/>
                <w:szCs w:val="20"/>
                <w:lang w:val="en-US"/>
              </w:rPr>
              <w:t>En ejecución</w:t>
            </w:r>
          </w:p>
        </w:tc>
        <w:tc>
          <w:tcPr>
            <w:tcW w:w="1473" w:type="dxa"/>
            <w:vAlign w:val="center"/>
            <w:hideMark/>
          </w:tcPr>
          <w:p w:rsidRPr="00481485" w:rsidR="002352AE" w:rsidP="002352AE" w:rsidRDefault="002352AE" w14:paraId="6F057DE9" w14:textId="77777777">
            <w:pPr>
              <w:spacing w:after="0" w:line="240" w:lineRule="auto"/>
              <w:jc w:val="both"/>
              <w:rPr>
                <w:bCs/>
                <w:sz w:val="20"/>
                <w:szCs w:val="20"/>
                <w:lang w:val="en-US"/>
              </w:rPr>
            </w:pPr>
            <w:r w:rsidRPr="00481485">
              <w:rPr>
                <w:bCs/>
                <w:sz w:val="20"/>
                <w:szCs w:val="20"/>
                <w:lang w:val="en-US"/>
              </w:rPr>
              <w:t>INVÍAS (Noticia 28/07/2022)</w:t>
            </w:r>
          </w:p>
        </w:tc>
      </w:tr>
      <w:tr w:rsidRPr="00481485" w:rsidR="002352AE" w:rsidTr="002352AE" w14:paraId="0D1E6169" w14:textId="77777777">
        <w:trPr>
          <w:trHeight w:val="1020"/>
        </w:trPr>
        <w:tc>
          <w:tcPr>
            <w:tcW w:w="1423" w:type="dxa"/>
            <w:noWrap/>
            <w:vAlign w:val="center"/>
            <w:hideMark/>
          </w:tcPr>
          <w:p w:rsidRPr="00481485" w:rsidR="002352AE" w:rsidP="002352AE" w:rsidRDefault="002352AE" w14:paraId="120F32FF" w14:textId="77777777">
            <w:pPr>
              <w:spacing w:after="0" w:line="240" w:lineRule="auto"/>
              <w:jc w:val="both"/>
              <w:rPr>
                <w:bCs/>
                <w:sz w:val="20"/>
                <w:szCs w:val="20"/>
                <w:lang w:val="en-US"/>
              </w:rPr>
            </w:pPr>
            <w:r w:rsidRPr="00481485">
              <w:rPr>
                <w:bCs/>
                <w:sz w:val="20"/>
                <w:szCs w:val="20"/>
                <w:lang w:val="en-US"/>
              </w:rPr>
              <w:t>Putumayo–Nariño</w:t>
            </w:r>
          </w:p>
        </w:tc>
        <w:tc>
          <w:tcPr>
            <w:tcW w:w="1912" w:type="dxa"/>
            <w:vAlign w:val="center"/>
            <w:hideMark/>
          </w:tcPr>
          <w:p w:rsidRPr="00481485" w:rsidR="002352AE" w:rsidP="002352AE" w:rsidRDefault="002352AE" w14:paraId="6C241708" w14:textId="77777777">
            <w:pPr>
              <w:spacing w:after="0" w:line="240" w:lineRule="auto"/>
              <w:jc w:val="both"/>
              <w:rPr>
                <w:bCs/>
                <w:sz w:val="20"/>
                <w:szCs w:val="20"/>
                <w:lang w:val="es-CO"/>
              </w:rPr>
            </w:pPr>
            <w:r w:rsidRPr="00481485">
              <w:rPr>
                <w:bCs/>
                <w:sz w:val="20"/>
                <w:szCs w:val="20"/>
                <w:lang w:val="es-CO"/>
              </w:rPr>
              <w:t>Variante San Francisco – Mocoa (Pasto–Mocoa)</w:t>
            </w:r>
          </w:p>
        </w:tc>
        <w:tc>
          <w:tcPr>
            <w:tcW w:w="1535" w:type="dxa"/>
            <w:vAlign w:val="center"/>
            <w:hideMark/>
          </w:tcPr>
          <w:p w:rsidRPr="00481485" w:rsidR="002352AE" w:rsidP="002352AE" w:rsidRDefault="002352AE" w14:paraId="3F94892A" w14:textId="77777777">
            <w:pPr>
              <w:spacing w:after="0" w:line="240" w:lineRule="auto"/>
              <w:jc w:val="both"/>
              <w:rPr>
                <w:bCs/>
                <w:sz w:val="20"/>
                <w:szCs w:val="20"/>
                <w:lang w:val="en-US"/>
              </w:rPr>
            </w:pPr>
            <w:r w:rsidRPr="00481485">
              <w:rPr>
                <w:bCs/>
                <w:sz w:val="20"/>
                <w:szCs w:val="20"/>
                <w:lang w:val="en-US"/>
              </w:rPr>
              <w:t>≈41–45,6 km planificados; avance 30% (nov-2025)</w:t>
            </w:r>
          </w:p>
        </w:tc>
        <w:tc>
          <w:tcPr>
            <w:tcW w:w="1298" w:type="dxa"/>
            <w:vAlign w:val="center"/>
            <w:hideMark/>
          </w:tcPr>
          <w:p w:rsidRPr="00481485" w:rsidR="002352AE" w:rsidP="002352AE" w:rsidRDefault="002352AE" w14:paraId="405EE274" w14:textId="77777777">
            <w:pPr>
              <w:spacing w:after="0" w:line="240" w:lineRule="auto"/>
              <w:jc w:val="both"/>
              <w:rPr>
                <w:bCs/>
                <w:sz w:val="20"/>
                <w:szCs w:val="20"/>
                <w:lang w:val="en-US"/>
              </w:rPr>
            </w:pPr>
            <w:r w:rsidRPr="00481485">
              <w:rPr>
                <w:bCs/>
                <w:sz w:val="20"/>
                <w:szCs w:val="20"/>
                <w:lang w:val="en-US"/>
              </w:rPr>
              <w:t>Múltiples (en construcción)</w:t>
            </w:r>
          </w:p>
        </w:tc>
        <w:tc>
          <w:tcPr>
            <w:tcW w:w="1709" w:type="dxa"/>
            <w:vAlign w:val="center"/>
            <w:hideMark/>
          </w:tcPr>
          <w:p w:rsidRPr="00481485" w:rsidR="002352AE" w:rsidP="002352AE" w:rsidRDefault="002352AE" w14:paraId="13225FF3" w14:textId="77777777">
            <w:pPr>
              <w:spacing w:after="0" w:line="240" w:lineRule="auto"/>
              <w:jc w:val="both"/>
              <w:rPr>
                <w:bCs/>
                <w:sz w:val="20"/>
                <w:szCs w:val="20"/>
                <w:lang w:val="en-US"/>
              </w:rPr>
            </w:pPr>
            <w:r w:rsidRPr="00481485">
              <w:rPr>
                <w:bCs/>
                <w:sz w:val="20"/>
                <w:szCs w:val="20"/>
                <w:lang w:val="en-US"/>
              </w:rPr>
              <w:t>En ejecución</w:t>
            </w:r>
          </w:p>
        </w:tc>
        <w:tc>
          <w:tcPr>
            <w:tcW w:w="1473" w:type="dxa"/>
            <w:vAlign w:val="center"/>
            <w:hideMark/>
          </w:tcPr>
          <w:p w:rsidRPr="00481485" w:rsidR="002352AE" w:rsidP="002352AE" w:rsidRDefault="002352AE" w14:paraId="28C79EA8" w14:textId="77777777">
            <w:pPr>
              <w:spacing w:after="0" w:line="240" w:lineRule="auto"/>
              <w:jc w:val="both"/>
              <w:rPr>
                <w:bCs/>
                <w:sz w:val="20"/>
                <w:szCs w:val="20"/>
                <w:lang w:val="es-CO"/>
              </w:rPr>
            </w:pPr>
            <w:r w:rsidRPr="00481485">
              <w:rPr>
                <w:bCs/>
                <w:sz w:val="20"/>
                <w:szCs w:val="20"/>
                <w:lang w:val="es-CO"/>
              </w:rPr>
              <w:t>INVÍAS (Noticia 12/11/2025); El País (24/02/2023); SINCHI (2024)</w:t>
            </w:r>
          </w:p>
        </w:tc>
      </w:tr>
      <w:tr w:rsidRPr="00481485" w:rsidR="002352AE" w:rsidTr="002352AE" w14:paraId="1B299377" w14:textId="77777777">
        <w:trPr>
          <w:trHeight w:val="1020"/>
        </w:trPr>
        <w:tc>
          <w:tcPr>
            <w:tcW w:w="1423" w:type="dxa"/>
            <w:noWrap/>
            <w:vAlign w:val="center"/>
            <w:hideMark/>
          </w:tcPr>
          <w:p w:rsidRPr="00481485" w:rsidR="002352AE" w:rsidP="002352AE" w:rsidRDefault="002352AE" w14:paraId="618BAC78" w14:textId="77777777">
            <w:pPr>
              <w:spacing w:after="0" w:line="240" w:lineRule="auto"/>
              <w:jc w:val="both"/>
              <w:rPr>
                <w:bCs/>
                <w:sz w:val="20"/>
                <w:szCs w:val="20"/>
                <w:lang w:val="en-US"/>
              </w:rPr>
            </w:pPr>
            <w:r w:rsidRPr="00481485">
              <w:rPr>
                <w:bCs/>
                <w:sz w:val="20"/>
                <w:szCs w:val="20"/>
                <w:lang w:val="en-US"/>
              </w:rPr>
              <w:t>Amazonas</w:t>
            </w:r>
          </w:p>
        </w:tc>
        <w:tc>
          <w:tcPr>
            <w:tcW w:w="1912" w:type="dxa"/>
            <w:vAlign w:val="center"/>
            <w:hideMark/>
          </w:tcPr>
          <w:p w:rsidRPr="00481485" w:rsidR="002352AE" w:rsidP="002352AE" w:rsidRDefault="002352AE" w14:paraId="466461B1" w14:textId="77777777">
            <w:pPr>
              <w:spacing w:after="0" w:line="240" w:lineRule="auto"/>
              <w:jc w:val="both"/>
              <w:rPr>
                <w:bCs/>
                <w:sz w:val="20"/>
                <w:szCs w:val="20"/>
                <w:lang w:val="es-CO"/>
              </w:rPr>
            </w:pPr>
            <w:r w:rsidRPr="00481485">
              <w:rPr>
                <w:bCs/>
                <w:sz w:val="20"/>
                <w:szCs w:val="20"/>
                <w:lang w:val="es-CO"/>
              </w:rPr>
              <w:t>Muelles: Victoria Regia (Leticia), La Pedrera, La Chorrera, Tarapacá, Puerto Nariño</w:t>
            </w:r>
          </w:p>
        </w:tc>
        <w:tc>
          <w:tcPr>
            <w:tcW w:w="1535" w:type="dxa"/>
            <w:vAlign w:val="center"/>
            <w:hideMark/>
          </w:tcPr>
          <w:p w:rsidRPr="00481485" w:rsidR="002352AE" w:rsidP="002352AE" w:rsidRDefault="002352AE" w14:paraId="1404A4EF" w14:textId="77777777">
            <w:pPr>
              <w:spacing w:after="0" w:line="240" w:lineRule="auto"/>
              <w:jc w:val="both"/>
              <w:rPr>
                <w:bCs/>
                <w:sz w:val="20"/>
                <w:szCs w:val="20"/>
                <w:lang w:val="en-US"/>
              </w:rPr>
            </w:pPr>
            <w:r w:rsidRPr="00481485">
              <w:rPr>
                <w:bCs/>
                <w:sz w:val="20"/>
                <w:szCs w:val="20"/>
                <w:lang w:val="en-US"/>
              </w:rPr>
              <w:t>ND</w:t>
            </w:r>
          </w:p>
        </w:tc>
        <w:tc>
          <w:tcPr>
            <w:tcW w:w="1298" w:type="dxa"/>
            <w:vAlign w:val="center"/>
            <w:hideMark/>
          </w:tcPr>
          <w:p w:rsidRPr="00481485" w:rsidR="002352AE" w:rsidP="002352AE" w:rsidRDefault="002352AE" w14:paraId="1138324E" w14:textId="77777777">
            <w:pPr>
              <w:spacing w:after="0" w:line="240" w:lineRule="auto"/>
              <w:jc w:val="both"/>
              <w:rPr>
                <w:bCs/>
                <w:sz w:val="20"/>
                <w:szCs w:val="20"/>
                <w:lang w:val="en-US"/>
              </w:rPr>
            </w:pPr>
            <w:r w:rsidRPr="00481485">
              <w:rPr>
                <w:bCs/>
                <w:sz w:val="20"/>
                <w:szCs w:val="20"/>
                <w:lang w:val="en-US"/>
              </w:rPr>
              <w:t>ND</w:t>
            </w:r>
          </w:p>
        </w:tc>
        <w:tc>
          <w:tcPr>
            <w:tcW w:w="1709" w:type="dxa"/>
            <w:vAlign w:val="center"/>
            <w:hideMark/>
          </w:tcPr>
          <w:p w:rsidRPr="00481485" w:rsidR="002352AE" w:rsidP="002352AE" w:rsidRDefault="002352AE" w14:paraId="33EE86C5" w14:textId="77777777">
            <w:pPr>
              <w:spacing w:after="0" w:line="240" w:lineRule="auto"/>
              <w:jc w:val="both"/>
              <w:rPr>
                <w:bCs/>
                <w:sz w:val="20"/>
                <w:szCs w:val="20"/>
                <w:lang w:val="en-US"/>
              </w:rPr>
            </w:pPr>
            <w:r w:rsidRPr="00481485">
              <w:rPr>
                <w:bCs/>
                <w:sz w:val="20"/>
                <w:szCs w:val="20"/>
                <w:lang w:val="en-US"/>
              </w:rPr>
              <w:t>Ejecución/Mejoras</w:t>
            </w:r>
          </w:p>
        </w:tc>
        <w:tc>
          <w:tcPr>
            <w:tcW w:w="1473" w:type="dxa"/>
            <w:vAlign w:val="center"/>
            <w:hideMark/>
          </w:tcPr>
          <w:p w:rsidRPr="00481485" w:rsidR="002352AE" w:rsidP="002352AE" w:rsidRDefault="002352AE" w14:paraId="60B50264" w14:textId="77777777">
            <w:pPr>
              <w:spacing w:after="0" w:line="240" w:lineRule="auto"/>
              <w:jc w:val="both"/>
              <w:rPr>
                <w:bCs/>
                <w:sz w:val="20"/>
                <w:szCs w:val="20"/>
                <w:lang w:val="en-US"/>
              </w:rPr>
            </w:pPr>
            <w:r w:rsidRPr="00481485">
              <w:rPr>
                <w:bCs/>
                <w:sz w:val="20"/>
                <w:szCs w:val="20"/>
                <w:lang w:val="en-US"/>
              </w:rPr>
              <w:t>MinTransporte (24/07/2021)</w:t>
            </w:r>
          </w:p>
        </w:tc>
      </w:tr>
      <w:tr w:rsidRPr="00481485" w:rsidR="002352AE" w:rsidTr="002352AE" w14:paraId="4707FE8D" w14:textId="77777777">
        <w:trPr>
          <w:trHeight w:val="765"/>
        </w:trPr>
        <w:tc>
          <w:tcPr>
            <w:tcW w:w="1423" w:type="dxa"/>
            <w:vAlign w:val="center"/>
            <w:hideMark/>
          </w:tcPr>
          <w:p w:rsidRPr="00481485" w:rsidR="002352AE" w:rsidP="002352AE" w:rsidRDefault="002352AE" w14:paraId="250B0D9B" w14:textId="77777777">
            <w:pPr>
              <w:spacing w:after="0" w:line="240" w:lineRule="auto"/>
              <w:jc w:val="both"/>
              <w:rPr>
                <w:bCs/>
                <w:sz w:val="20"/>
                <w:szCs w:val="20"/>
                <w:lang w:val="en-US"/>
              </w:rPr>
            </w:pPr>
            <w:r w:rsidRPr="00481485">
              <w:rPr>
                <w:bCs/>
                <w:sz w:val="20"/>
                <w:szCs w:val="20"/>
                <w:lang w:val="en-US"/>
              </w:rPr>
              <w:t>Putumayo (multinacional)</w:t>
            </w:r>
          </w:p>
        </w:tc>
        <w:tc>
          <w:tcPr>
            <w:tcW w:w="1912" w:type="dxa"/>
            <w:vAlign w:val="center"/>
            <w:hideMark/>
          </w:tcPr>
          <w:p w:rsidRPr="00481485" w:rsidR="002352AE" w:rsidP="002352AE" w:rsidRDefault="002352AE" w14:paraId="3415B0D3" w14:textId="77777777">
            <w:pPr>
              <w:spacing w:after="0" w:line="240" w:lineRule="auto"/>
              <w:jc w:val="both"/>
              <w:rPr>
                <w:bCs/>
                <w:sz w:val="20"/>
                <w:szCs w:val="20"/>
                <w:lang w:val="es-CO"/>
              </w:rPr>
            </w:pPr>
            <w:r w:rsidRPr="00481485">
              <w:rPr>
                <w:bCs/>
                <w:sz w:val="20"/>
                <w:szCs w:val="20"/>
                <w:lang w:val="es-CO"/>
              </w:rPr>
              <w:t>Navegabilidad Río Putumayo–Içá (AMA38)</w:t>
            </w:r>
          </w:p>
        </w:tc>
        <w:tc>
          <w:tcPr>
            <w:tcW w:w="1535" w:type="dxa"/>
            <w:vAlign w:val="center"/>
            <w:hideMark/>
          </w:tcPr>
          <w:p w:rsidRPr="00481485" w:rsidR="002352AE" w:rsidP="002352AE" w:rsidRDefault="002352AE" w14:paraId="3F2D6D5D" w14:textId="77777777">
            <w:pPr>
              <w:spacing w:after="0" w:line="240" w:lineRule="auto"/>
              <w:jc w:val="both"/>
              <w:rPr>
                <w:bCs/>
                <w:sz w:val="20"/>
                <w:szCs w:val="20"/>
                <w:lang w:val="en-US"/>
              </w:rPr>
            </w:pPr>
            <w:r w:rsidRPr="00481485">
              <w:rPr>
                <w:bCs/>
                <w:sz w:val="20"/>
                <w:szCs w:val="20"/>
                <w:lang w:val="en-US"/>
              </w:rPr>
              <w:t>Corredor fluvial ≈1.927 km</w:t>
            </w:r>
          </w:p>
        </w:tc>
        <w:tc>
          <w:tcPr>
            <w:tcW w:w="1298" w:type="dxa"/>
            <w:vAlign w:val="center"/>
            <w:hideMark/>
          </w:tcPr>
          <w:p w:rsidRPr="00481485" w:rsidR="002352AE" w:rsidP="002352AE" w:rsidRDefault="002352AE" w14:paraId="4CC9530A" w14:textId="77777777">
            <w:pPr>
              <w:spacing w:after="0" w:line="240" w:lineRule="auto"/>
              <w:jc w:val="both"/>
              <w:rPr>
                <w:bCs/>
                <w:sz w:val="20"/>
                <w:szCs w:val="20"/>
                <w:lang w:val="en-US"/>
              </w:rPr>
            </w:pPr>
            <w:r w:rsidRPr="00481485">
              <w:rPr>
                <w:bCs/>
                <w:sz w:val="20"/>
                <w:szCs w:val="20"/>
                <w:lang w:val="en-US"/>
              </w:rPr>
              <w:t>ND</w:t>
            </w:r>
          </w:p>
        </w:tc>
        <w:tc>
          <w:tcPr>
            <w:tcW w:w="1709" w:type="dxa"/>
            <w:vAlign w:val="center"/>
            <w:hideMark/>
          </w:tcPr>
          <w:p w:rsidRPr="00481485" w:rsidR="002352AE" w:rsidP="002352AE" w:rsidRDefault="002352AE" w14:paraId="628380B2" w14:textId="77777777">
            <w:pPr>
              <w:spacing w:after="0" w:line="240" w:lineRule="auto"/>
              <w:jc w:val="both"/>
              <w:rPr>
                <w:bCs/>
                <w:sz w:val="20"/>
                <w:szCs w:val="20"/>
                <w:lang w:val="en-US"/>
              </w:rPr>
            </w:pPr>
            <w:r w:rsidRPr="00481485">
              <w:rPr>
                <w:bCs/>
                <w:sz w:val="20"/>
                <w:szCs w:val="20"/>
                <w:lang w:val="en-US"/>
              </w:rPr>
              <w:t>Pre-ejecución / Estudios</w:t>
            </w:r>
          </w:p>
        </w:tc>
        <w:tc>
          <w:tcPr>
            <w:tcW w:w="1473" w:type="dxa"/>
            <w:vAlign w:val="center"/>
            <w:hideMark/>
          </w:tcPr>
          <w:p w:rsidRPr="00481485" w:rsidR="002352AE" w:rsidP="002352AE" w:rsidRDefault="002352AE" w14:paraId="69ED133D" w14:textId="77777777">
            <w:pPr>
              <w:spacing w:after="0" w:line="240" w:lineRule="auto"/>
              <w:jc w:val="both"/>
              <w:rPr>
                <w:bCs/>
                <w:sz w:val="20"/>
                <w:szCs w:val="20"/>
                <w:lang w:val="es-CO"/>
              </w:rPr>
            </w:pPr>
            <w:r w:rsidRPr="00481485">
              <w:rPr>
                <w:bCs/>
                <w:sz w:val="20"/>
                <w:szCs w:val="20"/>
                <w:lang w:val="es-CO"/>
              </w:rPr>
              <w:t>IIRSA (AMA38); INVÍAS – Proyectos de navegabilidad</w:t>
            </w:r>
          </w:p>
        </w:tc>
      </w:tr>
    </w:tbl>
    <w:p w:rsidR="002352AE" w:rsidP="002352AE" w:rsidRDefault="002352AE" w14:paraId="2DE36697" w14:textId="77777777">
      <w:pPr>
        <w:jc w:val="both"/>
        <w:rPr>
          <w:bCs/>
          <w:sz w:val="24"/>
          <w:szCs w:val="24"/>
          <w:lang w:val="es-CO"/>
        </w:rPr>
      </w:pPr>
    </w:p>
    <w:p w:rsidRPr="002352AE" w:rsidR="002352AE" w:rsidP="002352AE" w:rsidRDefault="002352AE" w14:paraId="07E389BF" w14:textId="439B06DA">
      <w:pPr>
        <w:pStyle w:val="Descripcin"/>
        <w:spacing w:after="160"/>
        <w:jc w:val="center"/>
        <w:rPr>
          <w:bCs w:val="0"/>
          <w:sz w:val="20"/>
          <w:szCs w:val="20"/>
          <w:lang w:val="es-CO"/>
        </w:rPr>
      </w:pPr>
      <w:bookmarkStart w:name="_Toc216558747" w:id="37"/>
      <w:r w:rsidRPr="002352AE">
        <w:rPr>
          <w:sz w:val="20"/>
          <w:szCs w:val="20"/>
        </w:rPr>
        <w:t xml:space="preserve">Tabla </w:t>
      </w:r>
      <w:r w:rsidRPr="002352AE">
        <w:rPr>
          <w:sz w:val="20"/>
          <w:szCs w:val="20"/>
        </w:rPr>
        <w:fldChar w:fldCharType="begin"/>
      </w:r>
      <w:r w:rsidRPr="002352AE">
        <w:rPr>
          <w:sz w:val="20"/>
          <w:szCs w:val="20"/>
        </w:rPr>
        <w:instrText xml:space="preserve"> SEQ Tabla \* ARABIC </w:instrText>
      </w:r>
      <w:r w:rsidRPr="002352AE">
        <w:rPr>
          <w:sz w:val="20"/>
          <w:szCs w:val="20"/>
        </w:rPr>
        <w:fldChar w:fldCharType="separate"/>
      </w:r>
      <w:r w:rsidR="00EE79CE">
        <w:rPr>
          <w:noProof/>
          <w:sz w:val="20"/>
          <w:szCs w:val="20"/>
        </w:rPr>
        <w:t>3</w:t>
      </w:r>
      <w:r w:rsidRPr="002352AE">
        <w:rPr>
          <w:sz w:val="20"/>
          <w:szCs w:val="20"/>
        </w:rPr>
        <w:fldChar w:fldCharType="end"/>
      </w:r>
      <w:r w:rsidRPr="002352AE">
        <w:rPr>
          <w:sz w:val="20"/>
          <w:szCs w:val="20"/>
        </w:rPr>
        <w:t xml:space="preserve"> Eje Andino / Panamericana / Marginal de la Selva – detalle por proyecto:</w:t>
      </w:r>
      <w:bookmarkEnd w:id="37"/>
    </w:p>
    <w:tbl>
      <w:tblPr>
        <w:tblW w:w="5000" w:type="pct"/>
        <w:tblCellMar>
          <w:left w:w="70" w:type="dxa"/>
          <w:right w:w="70" w:type="dxa"/>
        </w:tblCellMar>
        <w:tblLook w:val="04A0" w:firstRow="1" w:lastRow="0" w:firstColumn="1" w:lastColumn="0" w:noHBand="0" w:noVBand="1"/>
      </w:tblPr>
      <w:tblGrid>
        <w:gridCol w:w="1709"/>
        <w:gridCol w:w="2650"/>
        <w:gridCol w:w="1823"/>
        <w:gridCol w:w="1152"/>
        <w:gridCol w:w="2016"/>
      </w:tblGrid>
      <w:tr w:rsidRPr="00481485" w:rsidR="002352AE" w:rsidTr="00825ECC" w14:paraId="6B2AFC16" w14:textId="77777777">
        <w:trPr>
          <w:trHeight w:val="300"/>
        </w:trPr>
        <w:tc>
          <w:tcPr>
            <w:tcW w:w="914" w:type="pct"/>
            <w:tcBorders>
              <w:top w:val="single" w:color="auto" w:sz="4" w:space="0"/>
              <w:left w:val="single" w:color="auto" w:sz="4" w:space="0"/>
              <w:bottom w:val="single" w:color="auto" w:sz="4" w:space="0"/>
              <w:right w:val="single" w:color="auto" w:sz="4" w:space="0"/>
            </w:tcBorders>
            <w:shd w:val="clear" w:color="000000" w:fill="002060"/>
            <w:vAlign w:val="bottom"/>
            <w:hideMark/>
          </w:tcPr>
          <w:p w:rsidRPr="00481485" w:rsidR="002352AE" w:rsidP="00825ECC" w:rsidRDefault="002352AE" w14:paraId="3F282487" w14:textId="77777777">
            <w:pPr>
              <w:spacing w:after="0" w:line="240" w:lineRule="auto"/>
              <w:rPr>
                <w:rFonts w:eastAsia="Times New Roman" w:cs="Calibri"/>
                <w:b/>
                <w:bCs/>
                <w:color w:val="FFFFFF"/>
                <w:sz w:val="20"/>
                <w:szCs w:val="20"/>
                <w:lang w:val="es-CO" w:eastAsia="es-CO"/>
              </w:rPr>
            </w:pPr>
            <w:r w:rsidRPr="00481485">
              <w:rPr>
                <w:rFonts w:eastAsia="Times New Roman" w:cs="Calibri"/>
                <w:b/>
                <w:bCs/>
                <w:color w:val="FFFFFF"/>
                <w:sz w:val="20"/>
                <w:szCs w:val="20"/>
                <w:lang w:val="es-CO" w:eastAsia="es-CO"/>
              </w:rPr>
              <w:t>Departamento</w:t>
            </w:r>
          </w:p>
        </w:tc>
        <w:tc>
          <w:tcPr>
            <w:tcW w:w="1417" w:type="pct"/>
            <w:tcBorders>
              <w:top w:val="single" w:color="auto" w:sz="4" w:space="0"/>
              <w:left w:val="nil"/>
              <w:bottom w:val="single" w:color="auto" w:sz="4" w:space="0"/>
              <w:right w:val="single" w:color="auto" w:sz="4" w:space="0"/>
            </w:tcBorders>
            <w:shd w:val="clear" w:color="000000" w:fill="002060"/>
            <w:vAlign w:val="bottom"/>
            <w:hideMark/>
          </w:tcPr>
          <w:p w:rsidRPr="00481485" w:rsidR="002352AE" w:rsidP="00825ECC" w:rsidRDefault="002352AE" w14:paraId="020E151B" w14:textId="77777777">
            <w:pPr>
              <w:spacing w:after="0" w:line="240" w:lineRule="auto"/>
              <w:rPr>
                <w:rFonts w:eastAsia="Times New Roman" w:cs="Calibri"/>
                <w:b/>
                <w:bCs/>
                <w:color w:val="FFFFFF"/>
                <w:sz w:val="20"/>
                <w:szCs w:val="20"/>
                <w:lang w:val="es-CO" w:eastAsia="es-CO"/>
              </w:rPr>
            </w:pPr>
            <w:r w:rsidRPr="00481485">
              <w:rPr>
                <w:rFonts w:eastAsia="Times New Roman" w:cs="Calibri"/>
                <w:b/>
                <w:bCs/>
                <w:color w:val="FFFFFF"/>
                <w:sz w:val="20"/>
                <w:szCs w:val="20"/>
                <w:lang w:val="es-CO" w:eastAsia="es-CO"/>
              </w:rPr>
              <w:t>Proyecto / Tramo</w:t>
            </w:r>
          </w:p>
        </w:tc>
        <w:tc>
          <w:tcPr>
            <w:tcW w:w="975" w:type="pct"/>
            <w:tcBorders>
              <w:top w:val="single" w:color="auto" w:sz="4" w:space="0"/>
              <w:left w:val="nil"/>
              <w:bottom w:val="single" w:color="auto" w:sz="4" w:space="0"/>
              <w:right w:val="single" w:color="auto" w:sz="4" w:space="0"/>
            </w:tcBorders>
            <w:shd w:val="clear" w:color="000000" w:fill="002060"/>
            <w:vAlign w:val="bottom"/>
            <w:hideMark/>
          </w:tcPr>
          <w:p w:rsidRPr="00481485" w:rsidR="002352AE" w:rsidP="00825ECC" w:rsidRDefault="002352AE" w14:paraId="714C59EA" w14:textId="77777777">
            <w:pPr>
              <w:spacing w:after="0" w:line="240" w:lineRule="auto"/>
              <w:rPr>
                <w:rFonts w:eastAsia="Times New Roman" w:cs="Calibri"/>
                <w:b/>
                <w:bCs/>
                <w:color w:val="FFFFFF"/>
                <w:sz w:val="20"/>
                <w:szCs w:val="20"/>
                <w:lang w:val="es-CO" w:eastAsia="es-CO"/>
              </w:rPr>
            </w:pPr>
            <w:r w:rsidRPr="00481485">
              <w:rPr>
                <w:rFonts w:eastAsia="Times New Roman" w:cs="Calibri"/>
                <w:b/>
                <w:bCs/>
                <w:color w:val="FFFFFF"/>
                <w:sz w:val="20"/>
                <w:szCs w:val="20"/>
                <w:lang w:val="es-CO" w:eastAsia="es-CO"/>
              </w:rPr>
              <w:t>Vías (km)</w:t>
            </w:r>
          </w:p>
        </w:tc>
        <w:tc>
          <w:tcPr>
            <w:tcW w:w="616" w:type="pct"/>
            <w:tcBorders>
              <w:top w:val="single" w:color="auto" w:sz="4" w:space="0"/>
              <w:left w:val="nil"/>
              <w:bottom w:val="single" w:color="auto" w:sz="4" w:space="0"/>
              <w:right w:val="single" w:color="auto" w:sz="4" w:space="0"/>
            </w:tcBorders>
            <w:shd w:val="clear" w:color="000000" w:fill="002060"/>
            <w:vAlign w:val="bottom"/>
            <w:hideMark/>
          </w:tcPr>
          <w:p w:rsidRPr="00481485" w:rsidR="002352AE" w:rsidP="00825ECC" w:rsidRDefault="002352AE" w14:paraId="19224D30" w14:textId="77777777">
            <w:pPr>
              <w:spacing w:after="0" w:line="240" w:lineRule="auto"/>
              <w:rPr>
                <w:rFonts w:eastAsia="Times New Roman" w:cs="Calibri"/>
                <w:b/>
                <w:bCs/>
                <w:color w:val="FFFFFF"/>
                <w:sz w:val="20"/>
                <w:szCs w:val="20"/>
                <w:lang w:val="es-CO" w:eastAsia="es-CO"/>
              </w:rPr>
            </w:pPr>
            <w:r w:rsidRPr="00481485">
              <w:rPr>
                <w:rFonts w:eastAsia="Times New Roman" w:cs="Calibri"/>
                <w:b/>
                <w:bCs/>
                <w:color w:val="FFFFFF"/>
                <w:sz w:val="20"/>
                <w:szCs w:val="20"/>
                <w:lang w:val="es-CO" w:eastAsia="es-CO"/>
              </w:rPr>
              <w:t>Estado</w:t>
            </w:r>
          </w:p>
        </w:tc>
        <w:tc>
          <w:tcPr>
            <w:tcW w:w="1078" w:type="pct"/>
            <w:tcBorders>
              <w:top w:val="single" w:color="auto" w:sz="4" w:space="0"/>
              <w:left w:val="nil"/>
              <w:bottom w:val="single" w:color="auto" w:sz="4" w:space="0"/>
              <w:right w:val="single" w:color="auto" w:sz="4" w:space="0"/>
            </w:tcBorders>
            <w:shd w:val="clear" w:color="000000" w:fill="002060"/>
            <w:vAlign w:val="bottom"/>
            <w:hideMark/>
          </w:tcPr>
          <w:p w:rsidRPr="00481485" w:rsidR="002352AE" w:rsidP="00825ECC" w:rsidRDefault="002352AE" w14:paraId="53F7F97C" w14:textId="77777777">
            <w:pPr>
              <w:spacing w:after="0" w:line="240" w:lineRule="auto"/>
              <w:rPr>
                <w:rFonts w:eastAsia="Times New Roman" w:cs="Calibri"/>
                <w:b/>
                <w:bCs/>
                <w:color w:val="FFFFFF"/>
                <w:sz w:val="20"/>
                <w:szCs w:val="20"/>
                <w:lang w:val="es-CO" w:eastAsia="es-CO"/>
              </w:rPr>
            </w:pPr>
            <w:r w:rsidRPr="00481485">
              <w:rPr>
                <w:rFonts w:eastAsia="Times New Roman" w:cs="Calibri"/>
                <w:b/>
                <w:bCs/>
                <w:color w:val="FFFFFF"/>
                <w:sz w:val="20"/>
                <w:szCs w:val="20"/>
                <w:lang w:val="es-CO" w:eastAsia="es-CO"/>
              </w:rPr>
              <w:t>Fuentes</w:t>
            </w:r>
          </w:p>
        </w:tc>
      </w:tr>
      <w:tr w:rsidRPr="00481485" w:rsidR="002352AE" w:rsidTr="00825ECC" w14:paraId="1A3652E1" w14:textId="77777777">
        <w:trPr>
          <w:trHeight w:val="765"/>
        </w:trPr>
        <w:tc>
          <w:tcPr>
            <w:tcW w:w="914" w:type="pct"/>
            <w:tcBorders>
              <w:top w:val="nil"/>
              <w:left w:val="single" w:color="auto" w:sz="4" w:space="0"/>
              <w:bottom w:val="single" w:color="auto" w:sz="4" w:space="0"/>
              <w:right w:val="single" w:color="auto" w:sz="4" w:space="0"/>
            </w:tcBorders>
            <w:vAlign w:val="center"/>
            <w:hideMark/>
          </w:tcPr>
          <w:p w:rsidRPr="00481485" w:rsidR="002352AE" w:rsidP="00825ECC" w:rsidRDefault="002352AE" w14:paraId="6B15C35D" w14:textId="77777777">
            <w:pPr>
              <w:spacing w:after="0" w:line="240" w:lineRule="auto"/>
              <w:rPr>
                <w:rFonts w:eastAsia="Times New Roman" w:cs="Calibri"/>
                <w:color w:val="000000"/>
                <w:sz w:val="20"/>
                <w:szCs w:val="20"/>
                <w:lang w:val="es-CO" w:eastAsia="es-CO"/>
              </w:rPr>
            </w:pPr>
            <w:r w:rsidRPr="00481485">
              <w:rPr>
                <w:rFonts w:eastAsia="Times New Roman" w:cs="Calibri"/>
                <w:color w:val="000000"/>
                <w:sz w:val="20"/>
                <w:szCs w:val="20"/>
                <w:lang w:val="es-CO" w:eastAsia="es-CO"/>
              </w:rPr>
              <w:t>Caquetá–Putumayo</w:t>
            </w:r>
          </w:p>
        </w:tc>
        <w:tc>
          <w:tcPr>
            <w:tcW w:w="1417" w:type="pct"/>
            <w:tcBorders>
              <w:top w:val="nil"/>
              <w:left w:val="nil"/>
              <w:bottom w:val="single" w:color="auto" w:sz="4" w:space="0"/>
              <w:right w:val="single" w:color="auto" w:sz="4" w:space="0"/>
            </w:tcBorders>
            <w:vAlign w:val="center"/>
            <w:hideMark/>
          </w:tcPr>
          <w:p w:rsidRPr="00481485" w:rsidR="002352AE" w:rsidP="00825ECC" w:rsidRDefault="002352AE" w14:paraId="3CF4ABDD" w14:textId="77777777">
            <w:pPr>
              <w:spacing w:after="0" w:line="240" w:lineRule="auto"/>
              <w:rPr>
                <w:rFonts w:eastAsia="Times New Roman" w:cs="Calibri"/>
                <w:color w:val="000000"/>
                <w:sz w:val="20"/>
                <w:szCs w:val="20"/>
                <w:lang w:val="es-CO" w:eastAsia="es-CO"/>
              </w:rPr>
            </w:pPr>
            <w:r w:rsidRPr="00481485">
              <w:rPr>
                <w:rFonts w:eastAsia="Times New Roman" w:cs="Calibri"/>
                <w:color w:val="000000"/>
                <w:sz w:val="20"/>
                <w:szCs w:val="20"/>
                <w:lang w:val="es-CO" w:eastAsia="es-CO"/>
              </w:rPr>
              <w:t>Villa Garzón – San José del Fragua (Marginal de la Selva) + Puente Río Caquetá</w:t>
            </w:r>
          </w:p>
        </w:tc>
        <w:tc>
          <w:tcPr>
            <w:tcW w:w="975" w:type="pct"/>
            <w:tcBorders>
              <w:top w:val="nil"/>
              <w:left w:val="nil"/>
              <w:bottom w:val="single" w:color="auto" w:sz="4" w:space="0"/>
              <w:right w:val="single" w:color="auto" w:sz="4" w:space="0"/>
            </w:tcBorders>
            <w:vAlign w:val="center"/>
            <w:hideMark/>
          </w:tcPr>
          <w:p w:rsidRPr="00481485" w:rsidR="002352AE" w:rsidP="00825ECC" w:rsidRDefault="002352AE" w14:paraId="1172187A" w14:textId="77777777">
            <w:pPr>
              <w:spacing w:after="0" w:line="240" w:lineRule="auto"/>
              <w:rPr>
                <w:rFonts w:eastAsia="Times New Roman" w:cs="Calibri"/>
                <w:color w:val="000000"/>
                <w:sz w:val="20"/>
                <w:szCs w:val="20"/>
                <w:lang w:val="es-CO" w:eastAsia="es-CO"/>
              </w:rPr>
            </w:pPr>
            <w:r w:rsidRPr="00481485">
              <w:rPr>
                <w:rFonts w:eastAsia="Times New Roman" w:cs="Calibri"/>
                <w:color w:val="000000"/>
                <w:sz w:val="20"/>
                <w:szCs w:val="20"/>
                <w:lang w:val="es-CO" w:eastAsia="es-CO"/>
              </w:rPr>
              <w:t>50 km + puente ≈1,2 km</w:t>
            </w:r>
          </w:p>
        </w:tc>
        <w:tc>
          <w:tcPr>
            <w:tcW w:w="616" w:type="pct"/>
            <w:tcBorders>
              <w:top w:val="nil"/>
              <w:left w:val="nil"/>
              <w:bottom w:val="single" w:color="auto" w:sz="4" w:space="0"/>
              <w:right w:val="single" w:color="auto" w:sz="4" w:space="0"/>
            </w:tcBorders>
            <w:vAlign w:val="center"/>
            <w:hideMark/>
          </w:tcPr>
          <w:p w:rsidRPr="00481485" w:rsidR="002352AE" w:rsidP="00825ECC" w:rsidRDefault="002352AE" w14:paraId="6121B5F8" w14:textId="77777777">
            <w:pPr>
              <w:spacing w:after="0" w:line="240" w:lineRule="auto"/>
              <w:rPr>
                <w:rFonts w:eastAsia="Times New Roman" w:cs="Calibri"/>
                <w:color w:val="000000"/>
                <w:sz w:val="20"/>
                <w:szCs w:val="20"/>
                <w:lang w:val="es-CO" w:eastAsia="es-CO"/>
              </w:rPr>
            </w:pPr>
            <w:r w:rsidRPr="00481485">
              <w:rPr>
                <w:rFonts w:eastAsia="Times New Roman" w:cs="Calibri"/>
                <w:color w:val="000000"/>
                <w:sz w:val="20"/>
                <w:szCs w:val="20"/>
                <w:lang w:val="es-CO" w:eastAsia="es-CO"/>
              </w:rPr>
              <w:t>En ejecución</w:t>
            </w:r>
          </w:p>
        </w:tc>
        <w:tc>
          <w:tcPr>
            <w:tcW w:w="1078" w:type="pct"/>
            <w:tcBorders>
              <w:top w:val="nil"/>
              <w:left w:val="nil"/>
              <w:bottom w:val="single" w:color="auto" w:sz="4" w:space="0"/>
              <w:right w:val="single" w:color="auto" w:sz="4" w:space="0"/>
            </w:tcBorders>
            <w:vAlign w:val="center"/>
            <w:hideMark/>
          </w:tcPr>
          <w:p w:rsidRPr="00481485" w:rsidR="002352AE" w:rsidP="00825ECC" w:rsidRDefault="002352AE" w14:paraId="654EC707" w14:textId="77777777">
            <w:pPr>
              <w:spacing w:after="0" w:line="240" w:lineRule="auto"/>
              <w:rPr>
                <w:rFonts w:eastAsia="Times New Roman" w:cs="Calibri"/>
                <w:color w:val="000000"/>
                <w:sz w:val="20"/>
                <w:szCs w:val="20"/>
                <w:lang w:val="es-CO" w:eastAsia="es-CO"/>
              </w:rPr>
            </w:pPr>
            <w:r w:rsidRPr="00481485">
              <w:rPr>
                <w:rFonts w:eastAsia="Times New Roman" w:cs="Calibri"/>
                <w:color w:val="000000"/>
                <w:sz w:val="20"/>
                <w:szCs w:val="20"/>
                <w:lang w:val="es-CO" w:eastAsia="es-CO"/>
              </w:rPr>
              <w:t>INVÍAS 28/07/2022</w:t>
            </w:r>
          </w:p>
        </w:tc>
      </w:tr>
      <w:tr w:rsidRPr="00481485" w:rsidR="002352AE" w:rsidTr="00825ECC" w14:paraId="6C62FFEE" w14:textId="77777777">
        <w:trPr>
          <w:trHeight w:val="765"/>
        </w:trPr>
        <w:tc>
          <w:tcPr>
            <w:tcW w:w="914" w:type="pct"/>
            <w:tcBorders>
              <w:top w:val="nil"/>
              <w:left w:val="single" w:color="auto" w:sz="4" w:space="0"/>
              <w:bottom w:val="single" w:color="auto" w:sz="4" w:space="0"/>
              <w:right w:val="single" w:color="auto" w:sz="4" w:space="0"/>
            </w:tcBorders>
            <w:vAlign w:val="center"/>
            <w:hideMark/>
          </w:tcPr>
          <w:p w:rsidRPr="00481485" w:rsidR="002352AE" w:rsidP="00825ECC" w:rsidRDefault="002352AE" w14:paraId="31163477" w14:textId="77777777">
            <w:pPr>
              <w:spacing w:after="0" w:line="240" w:lineRule="auto"/>
              <w:rPr>
                <w:rFonts w:eastAsia="Times New Roman" w:cs="Calibri"/>
                <w:color w:val="000000"/>
                <w:sz w:val="20"/>
                <w:szCs w:val="20"/>
                <w:lang w:val="es-CO" w:eastAsia="es-CO"/>
              </w:rPr>
            </w:pPr>
            <w:r w:rsidRPr="00481485">
              <w:rPr>
                <w:rFonts w:eastAsia="Times New Roman" w:cs="Calibri"/>
                <w:color w:val="000000"/>
                <w:sz w:val="20"/>
                <w:szCs w:val="20"/>
                <w:lang w:val="es-CO" w:eastAsia="es-CO"/>
              </w:rPr>
              <w:t>Putumayo</w:t>
            </w:r>
          </w:p>
        </w:tc>
        <w:tc>
          <w:tcPr>
            <w:tcW w:w="1417" w:type="pct"/>
            <w:tcBorders>
              <w:top w:val="nil"/>
              <w:left w:val="nil"/>
              <w:bottom w:val="single" w:color="auto" w:sz="4" w:space="0"/>
              <w:right w:val="single" w:color="auto" w:sz="4" w:space="0"/>
            </w:tcBorders>
            <w:vAlign w:val="center"/>
            <w:hideMark/>
          </w:tcPr>
          <w:p w:rsidRPr="00481485" w:rsidR="002352AE" w:rsidP="00825ECC" w:rsidRDefault="002352AE" w14:paraId="3BE791F2" w14:textId="77777777">
            <w:pPr>
              <w:spacing w:after="0" w:line="240" w:lineRule="auto"/>
              <w:rPr>
                <w:rFonts w:eastAsia="Times New Roman" w:cs="Calibri"/>
                <w:color w:val="000000"/>
                <w:sz w:val="20"/>
                <w:szCs w:val="20"/>
                <w:lang w:val="es-CO" w:eastAsia="es-CO"/>
              </w:rPr>
            </w:pPr>
            <w:r w:rsidRPr="00481485">
              <w:rPr>
                <w:rFonts w:eastAsia="Times New Roman" w:cs="Calibri"/>
                <w:color w:val="000000"/>
                <w:sz w:val="20"/>
                <w:szCs w:val="20"/>
                <w:lang w:val="es-CO" w:eastAsia="es-CO"/>
              </w:rPr>
              <w:t>San Miguel – Santana (Troncal del Piedemonte)</w:t>
            </w:r>
          </w:p>
        </w:tc>
        <w:tc>
          <w:tcPr>
            <w:tcW w:w="975" w:type="pct"/>
            <w:tcBorders>
              <w:top w:val="nil"/>
              <w:left w:val="nil"/>
              <w:bottom w:val="single" w:color="auto" w:sz="4" w:space="0"/>
              <w:right w:val="single" w:color="auto" w:sz="4" w:space="0"/>
            </w:tcBorders>
            <w:vAlign w:val="center"/>
            <w:hideMark/>
          </w:tcPr>
          <w:p w:rsidRPr="00481485" w:rsidR="002352AE" w:rsidP="00825ECC" w:rsidRDefault="002352AE" w14:paraId="3DD6CD27" w14:textId="77777777">
            <w:pPr>
              <w:spacing w:after="0" w:line="240" w:lineRule="auto"/>
              <w:rPr>
                <w:rFonts w:eastAsia="Times New Roman" w:cs="Calibri"/>
                <w:color w:val="000000"/>
                <w:sz w:val="20"/>
                <w:szCs w:val="20"/>
                <w:lang w:val="es-CO" w:eastAsia="es-CO"/>
              </w:rPr>
            </w:pPr>
            <w:r w:rsidRPr="00481485">
              <w:rPr>
                <w:rFonts w:eastAsia="Times New Roman" w:cs="Calibri"/>
                <w:color w:val="000000"/>
                <w:sz w:val="20"/>
                <w:szCs w:val="20"/>
                <w:lang w:val="es-CO" w:eastAsia="es-CO"/>
              </w:rPr>
              <w:t>62 km + 8 puentes</w:t>
            </w:r>
          </w:p>
        </w:tc>
        <w:tc>
          <w:tcPr>
            <w:tcW w:w="616" w:type="pct"/>
            <w:tcBorders>
              <w:top w:val="nil"/>
              <w:left w:val="nil"/>
              <w:bottom w:val="single" w:color="auto" w:sz="4" w:space="0"/>
              <w:right w:val="single" w:color="auto" w:sz="4" w:space="0"/>
            </w:tcBorders>
            <w:vAlign w:val="center"/>
            <w:hideMark/>
          </w:tcPr>
          <w:p w:rsidRPr="00481485" w:rsidR="002352AE" w:rsidP="00825ECC" w:rsidRDefault="002352AE" w14:paraId="74891BA5" w14:textId="77777777">
            <w:pPr>
              <w:spacing w:after="0" w:line="240" w:lineRule="auto"/>
              <w:rPr>
                <w:rFonts w:eastAsia="Times New Roman" w:cs="Calibri"/>
                <w:color w:val="000000"/>
                <w:sz w:val="20"/>
                <w:szCs w:val="20"/>
                <w:lang w:val="es-CO" w:eastAsia="es-CO"/>
              </w:rPr>
            </w:pPr>
            <w:r w:rsidRPr="00481485">
              <w:rPr>
                <w:rFonts w:eastAsia="Times New Roman" w:cs="Calibri"/>
                <w:color w:val="000000"/>
                <w:sz w:val="20"/>
                <w:szCs w:val="20"/>
                <w:lang w:val="es-CO" w:eastAsia="es-CO"/>
              </w:rPr>
              <w:t>Ejecutado</w:t>
            </w:r>
          </w:p>
        </w:tc>
        <w:tc>
          <w:tcPr>
            <w:tcW w:w="1078" w:type="pct"/>
            <w:tcBorders>
              <w:top w:val="nil"/>
              <w:left w:val="nil"/>
              <w:bottom w:val="single" w:color="auto" w:sz="4" w:space="0"/>
              <w:right w:val="single" w:color="auto" w:sz="4" w:space="0"/>
            </w:tcBorders>
            <w:vAlign w:val="center"/>
            <w:hideMark/>
          </w:tcPr>
          <w:p w:rsidRPr="00481485" w:rsidR="002352AE" w:rsidP="00825ECC" w:rsidRDefault="002352AE" w14:paraId="4AF677E9" w14:textId="77777777">
            <w:pPr>
              <w:spacing w:after="0" w:line="240" w:lineRule="auto"/>
              <w:rPr>
                <w:rFonts w:eastAsia="Times New Roman" w:cs="Calibri"/>
                <w:color w:val="000000"/>
                <w:sz w:val="20"/>
                <w:szCs w:val="20"/>
                <w:lang w:val="es-CO" w:eastAsia="es-CO"/>
              </w:rPr>
            </w:pPr>
            <w:r w:rsidRPr="00481485">
              <w:rPr>
                <w:rFonts w:eastAsia="Times New Roman" w:cs="Calibri"/>
                <w:color w:val="000000"/>
                <w:sz w:val="20"/>
                <w:szCs w:val="20"/>
                <w:lang w:val="es-CO" w:eastAsia="es-CO"/>
              </w:rPr>
              <w:t>El Tiempo 07/02/2016; MiPutumayo 08/02/2016</w:t>
            </w:r>
          </w:p>
        </w:tc>
      </w:tr>
      <w:tr w:rsidRPr="00481485" w:rsidR="002352AE" w:rsidTr="00825ECC" w14:paraId="1EFB3C49" w14:textId="77777777">
        <w:trPr>
          <w:trHeight w:val="765"/>
        </w:trPr>
        <w:tc>
          <w:tcPr>
            <w:tcW w:w="914" w:type="pct"/>
            <w:tcBorders>
              <w:top w:val="nil"/>
              <w:left w:val="single" w:color="auto" w:sz="4" w:space="0"/>
              <w:bottom w:val="single" w:color="auto" w:sz="4" w:space="0"/>
              <w:right w:val="single" w:color="auto" w:sz="4" w:space="0"/>
            </w:tcBorders>
            <w:vAlign w:val="center"/>
            <w:hideMark/>
          </w:tcPr>
          <w:p w:rsidRPr="00481485" w:rsidR="002352AE" w:rsidP="00825ECC" w:rsidRDefault="002352AE" w14:paraId="2D0148F2" w14:textId="77777777">
            <w:pPr>
              <w:spacing w:after="0" w:line="240" w:lineRule="auto"/>
              <w:rPr>
                <w:rFonts w:eastAsia="Times New Roman" w:cs="Calibri"/>
                <w:color w:val="000000"/>
                <w:sz w:val="20"/>
                <w:szCs w:val="20"/>
                <w:lang w:val="es-CO" w:eastAsia="es-CO"/>
              </w:rPr>
            </w:pPr>
            <w:r w:rsidRPr="00481485">
              <w:rPr>
                <w:rFonts w:eastAsia="Times New Roman" w:cs="Calibri"/>
                <w:color w:val="000000"/>
                <w:sz w:val="20"/>
                <w:szCs w:val="20"/>
                <w:lang w:val="es-CO" w:eastAsia="es-CO"/>
              </w:rPr>
              <w:t>Putumayo–Nariño</w:t>
            </w:r>
          </w:p>
        </w:tc>
        <w:tc>
          <w:tcPr>
            <w:tcW w:w="1417" w:type="pct"/>
            <w:tcBorders>
              <w:top w:val="nil"/>
              <w:left w:val="nil"/>
              <w:bottom w:val="single" w:color="auto" w:sz="4" w:space="0"/>
              <w:right w:val="single" w:color="auto" w:sz="4" w:space="0"/>
            </w:tcBorders>
            <w:vAlign w:val="center"/>
            <w:hideMark/>
          </w:tcPr>
          <w:p w:rsidRPr="00481485" w:rsidR="002352AE" w:rsidP="00825ECC" w:rsidRDefault="002352AE" w14:paraId="25582C94" w14:textId="77777777">
            <w:pPr>
              <w:spacing w:after="0" w:line="240" w:lineRule="auto"/>
              <w:rPr>
                <w:rFonts w:eastAsia="Times New Roman" w:cs="Calibri"/>
                <w:color w:val="000000"/>
                <w:sz w:val="20"/>
                <w:szCs w:val="20"/>
                <w:lang w:val="es-CO" w:eastAsia="es-CO"/>
              </w:rPr>
            </w:pPr>
            <w:r w:rsidRPr="00481485">
              <w:rPr>
                <w:rFonts w:eastAsia="Times New Roman" w:cs="Calibri"/>
                <w:color w:val="000000"/>
                <w:sz w:val="20"/>
                <w:szCs w:val="20"/>
                <w:lang w:val="es-CO" w:eastAsia="es-CO"/>
              </w:rPr>
              <w:t>Variante San Francisco – Mocoa (Pasto–Mocoa)</w:t>
            </w:r>
          </w:p>
        </w:tc>
        <w:tc>
          <w:tcPr>
            <w:tcW w:w="975" w:type="pct"/>
            <w:tcBorders>
              <w:top w:val="nil"/>
              <w:left w:val="nil"/>
              <w:bottom w:val="single" w:color="auto" w:sz="4" w:space="0"/>
              <w:right w:val="single" w:color="auto" w:sz="4" w:space="0"/>
            </w:tcBorders>
            <w:vAlign w:val="center"/>
            <w:hideMark/>
          </w:tcPr>
          <w:p w:rsidRPr="00481485" w:rsidR="002352AE" w:rsidP="00825ECC" w:rsidRDefault="002352AE" w14:paraId="42B2FA3D" w14:textId="77777777">
            <w:pPr>
              <w:spacing w:after="0" w:line="240" w:lineRule="auto"/>
              <w:rPr>
                <w:rFonts w:eastAsia="Times New Roman" w:cs="Calibri"/>
                <w:color w:val="000000"/>
                <w:sz w:val="20"/>
                <w:szCs w:val="20"/>
                <w:lang w:val="es-CO" w:eastAsia="es-CO"/>
              </w:rPr>
            </w:pPr>
            <w:r w:rsidRPr="00481485">
              <w:rPr>
                <w:rFonts w:eastAsia="Times New Roman" w:cs="Calibri"/>
                <w:color w:val="000000"/>
                <w:sz w:val="20"/>
                <w:szCs w:val="20"/>
                <w:lang w:val="es-CO" w:eastAsia="es-CO"/>
              </w:rPr>
              <w:t>≈41–45,6 km (plan); 30% avance</w:t>
            </w:r>
          </w:p>
        </w:tc>
        <w:tc>
          <w:tcPr>
            <w:tcW w:w="616" w:type="pct"/>
            <w:tcBorders>
              <w:top w:val="nil"/>
              <w:left w:val="nil"/>
              <w:bottom w:val="single" w:color="auto" w:sz="4" w:space="0"/>
              <w:right w:val="single" w:color="auto" w:sz="4" w:space="0"/>
            </w:tcBorders>
            <w:vAlign w:val="center"/>
            <w:hideMark/>
          </w:tcPr>
          <w:p w:rsidRPr="00481485" w:rsidR="002352AE" w:rsidP="00825ECC" w:rsidRDefault="002352AE" w14:paraId="6736D325" w14:textId="77777777">
            <w:pPr>
              <w:spacing w:after="0" w:line="240" w:lineRule="auto"/>
              <w:rPr>
                <w:rFonts w:eastAsia="Times New Roman" w:cs="Calibri"/>
                <w:color w:val="000000"/>
                <w:sz w:val="20"/>
                <w:szCs w:val="20"/>
                <w:lang w:val="es-CO" w:eastAsia="es-CO"/>
              </w:rPr>
            </w:pPr>
            <w:r w:rsidRPr="00481485">
              <w:rPr>
                <w:rFonts w:eastAsia="Times New Roman" w:cs="Calibri"/>
                <w:color w:val="000000"/>
                <w:sz w:val="20"/>
                <w:szCs w:val="20"/>
                <w:lang w:val="es-CO" w:eastAsia="es-CO"/>
              </w:rPr>
              <w:t>En ejecución</w:t>
            </w:r>
          </w:p>
        </w:tc>
        <w:tc>
          <w:tcPr>
            <w:tcW w:w="1078" w:type="pct"/>
            <w:tcBorders>
              <w:top w:val="nil"/>
              <w:left w:val="nil"/>
              <w:bottom w:val="single" w:color="auto" w:sz="4" w:space="0"/>
              <w:right w:val="single" w:color="auto" w:sz="4" w:space="0"/>
            </w:tcBorders>
            <w:vAlign w:val="center"/>
            <w:hideMark/>
          </w:tcPr>
          <w:p w:rsidRPr="00481485" w:rsidR="002352AE" w:rsidP="00825ECC" w:rsidRDefault="002352AE" w14:paraId="3D4F1C3E" w14:textId="77777777">
            <w:pPr>
              <w:spacing w:after="0" w:line="240" w:lineRule="auto"/>
              <w:rPr>
                <w:rFonts w:eastAsia="Times New Roman" w:cs="Calibri"/>
                <w:color w:val="000000"/>
                <w:sz w:val="20"/>
                <w:szCs w:val="20"/>
                <w:lang w:val="es-CO" w:eastAsia="es-CO"/>
              </w:rPr>
            </w:pPr>
            <w:r w:rsidRPr="00481485">
              <w:rPr>
                <w:rFonts w:eastAsia="Times New Roman" w:cs="Calibri"/>
                <w:color w:val="000000"/>
                <w:sz w:val="20"/>
                <w:szCs w:val="20"/>
                <w:lang w:val="es-CO" w:eastAsia="es-CO"/>
              </w:rPr>
              <w:t>INVÍAS 12/11/2025; El País 24/02/2023; SINCHI 2024</w:t>
            </w:r>
          </w:p>
        </w:tc>
      </w:tr>
    </w:tbl>
    <w:p w:rsidR="002352AE" w:rsidP="002352AE" w:rsidRDefault="002352AE" w14:paraId="2744741E" w14:textId="77777777">
      <w:pPr>
        <w:jc w:val="both"/>
        <w:rPr>
          <w:bCs/>
          <w:sz w:val="24"/>
          <w:szCs w:val="24"/>
          <w:lang w:val="es-CO"/>
        </w:rPr>
      </w:pPr>
    </w:p>
    <w:p w:rsidRPr="002352AE" w:rsidR="002352AE" w:rsidP="002352AE" w:rsidRDefault="002352AE" w14:paraId="08277433" w14:textId="46A7C4F2">
      <w:pPr>
        <w:pStyle w:val="Descripcin"/>
        <w:spacing w:after="160"/>
        <w:jc w:val="center"/>
        <w:rPr>
          <w:bCs w:val="0"/>
          <w:sz w:val="20"/>
          <w:szCs w:val="20"/>
          <w:lang w:val="es-CO"/>
        </w:rPr>
      </w:pPr>
      <w:bookmarkStart w:name="_Toc216558748" w:id="38"/>
      <w:r w:rsidRPr="002352AE">
        <w:rPr>
          <w:sz w:val="20"/>
          <w:szCs w:val="20"/>
        </w:rPr>
        <w:t xml:space="preserve">Tabla </w:t>
      </w:r>
      <w:r w:rsidRPr="002352AE">
        <w:rPr>
          <w:sz w:val="20"/>
          <w:szCs w:val="20"/>
        </w:rPr>
        <w:fldChar w:fldCharType="begin"/>
      </w:r>
      <w:r w:rsidRPr="002352AE">
        <w:rPr>
          <w:sz w:val="20"/>
          <w:szCs w:val="20"/>
        </w:rPr>
        <w:instrText xml:space="preserve"> SEQ Tabla \* ARABIC </w:instrText>
      </w:r>
      <w:r w:rsidRPr="002352AE">
        <w:rPr>
          <w:sz w:val="20"/>
          <w:szCs w:val="20"/>
        </w:rPr>
        <w:fldChar w:fldCharType="separate"/>
      </w:r>
      <w:r w:rsidR="00EE79CE">
        <w:rPr>
          <w:noProof/>
          <w:sz w:val="20"/>
          <w:szCs w:val="20"/>
        </w:rPr>
        <w:t>4</w:t>
      </w:r>
      <w:r w:rsidRPr="002352AE">
        <w:rPr>
          <w:sz w:val="20"/>
          <w:szCs w:val="20"/>
        </w:rPr>
        <w:fldChar w:fldCharType="end"/>
      </w:r>
      <w:r w:rsidRPr="002352AE">
        <w:rPr>
          <w:sz w:val="20"/>
          <w:szCs w:val="20"/>
        </w:rPr>
        <w:t xml:space="preserve"> Amazonas – intervenciones fluviales/portuarias (publicados en boletines):</w:t>
      </w:r>
      <w:bookmarkEnd w:id="38"/>
    </w:p>
    <w:tbl>
      <w:tblPr>
        <w:tblW w:w="5000" w:type="pct"/>
        <w:tblCellMar>
          <w:left w:w="70" w:type="dxa"/>
          <w:right w:w="70" w:type="dxa"/>
        </w:tblCellMar>
        <w:tblLook w:val="04A0" w:firstRow="1" w:lastRow="0" w:firstColumn="1" w:lastColumn="0" w:noHBand="0" w:noVBand="1"/>
      </w:tblPr>
      <w:tblGrid>
        <w:gridCol w:w="1607"/>
        <w:gridCol w:w="2479"/>
        <w:gridCol w:w="1747"/>
        <w:gridCol w:w="1583"/>
        <w:gridCol w:w="1934"/>
      </w:tblGrid>
      <w:tr w:rsidRPr="00743803" w:rsidR="002352AE" w:rsidTr="00825ECC" w14:paraId="2B47854D" w14:textId="77777777">
        <w:trPr>
          <w:trHeight w:val="300"/>
        </w:trPr>
        <w:tc>
          <w:tcPr>
            <w:tcW w:w="868" w:type="pct"/>
            <w:tcBorders>
              <w:top w:val="single" w:color="auto" w:sz="4" w:space="0"/>
              <w:left w:val="single" w:color="auto" w:sz="4" w:space="0"/>
              <w:bottom w:val="single" w:color="auto" w:sz="4" w:space="0"/>
              <w:right w:val="single" w:color="auto" w:sz="4" w:space="0"/>
            </w:tcBorders>
            <w:shd w:val="clear" w:color="000000" w:fill="002060"/>
            <w:vAlign w:val="bottom"/>
            <w:hideMark/>
          </w:tcPr>
          <w:p w:rsidRPr="00743803" w:rsidR="002352AE" w:rsidP="00825ECC" w:rsidRDefault="002352AE" w14:paraId="6CA17F13" w14:textId="77777777">
            <w:pPr>
              <w:spacing w:after="0" w:line="240" w:lineRule="auto"/>
              <w:jc w:val="center"/>
              <w:rPr>
                <w:rFonts w:eastAsia="Times New Roman" w:cs="Calibri"/>
                <w:b/>
                <w:bCs/>
                <w:color w:val="FFFFFF"/>
                <w:sz w:val="20"/>
                <w:szCs w:val="20"/>
                <w:lang w:val="es-CO" w:eastAsia="es-CO"/>
              </w:rPr>
            </w:pPr>
            <w:r w:rsidRPr="00743803">
              <w:rPr>
                <w:rFonts w:eastAsia="Times New Roman" w:cs="Calibri"/>
                <w:b/>
                <w:bCs/>
                <w:color w:val="FFFFFF"/>
                <w:sz w:val="20"/>
                <w:szCs w:val="20"/>
                <w:lang w:val="es-CO" w:eastAsia="es-CO"/>
              </w:rPr>
              <w:t>Municipio</w:t>
            </w:r>
          </w:p>
        </w:tc>
        <w:tc>
          <w:tcPr>
            <w:tcW w:w="1334" w:type="pct"/>
            <w:tcBorders>
              <w:top w:val="single" w:color="auto" w:sz="4" w:space="0"/>
              <w:left w:val="nil"/>
              <w:bottom w:val="single" w:color="auto" w:sz="4" w:space="0"/>
              <w:right w:val="single" w:color="auto" w:sz="4" w:space="0"/>
            </w:tcBorders>
            <w:shd w:val="clear" w:color="000000" w:fill="002060"/>
            <w:vAlign w:val="bottom"/>
            <w:hideMark/>
          </w:tcPr>
          <w:p w:rsidRPr="00743803" w:rsidR="002352AE" w:rsidP="00825ECC" w:rsidRDefault="002352AE" w14:paraId="0A94DEBD" w14:textId="77777777">
            <w:pPr>
              <w:spacing w:after="0" w:line="240" w:lineRule="auto"/>
              <w:jc w:val="center"/>
              <w:rPr>
                <w:rFonts w:eastAsia="Times New Roman" w:cs="Calibri"/>
                <w:b/>
                <w:bCs/>
                <w:color w:val="FFFFFF"/>
                <w:sz w:val="20"/>
                <w:szCs w:val="20"/>
                <w:lang w:val="es-CO" w:eastAsia="es-CO"/>
              </w:rPr>
            </w:pPr>
            <w:r w:rsidRPr="00743803">
              <w:rPr>
                <w:rFonts w:eastAsia="Times New Roman" w:cs="Calibri"/>
                <w:b/>
                <w:bCs/>
                <w:color w:val="FFFFFF"/>
                <w:sz w:val="20"/>
                <w:szCs w:val="20"/>
                <w:lang w:val="es-CO" w:eastAsia="es-CO"/>
              </w:rPr>
              <w:t>Obra</w:t>
            </w:r>
          </w:p>
        </w:tc>
        <w:tc>
          <w:tcPr>
            <w:tcW w:w="943" w:type="pct"/>
            <w:tcBorders>
              <w:top w:val="single" w:color="auto" w:sz="4" w:space="0"/>
              <w:left w:val="nil"/>
              <w:bottom w:val="single" w:color="auto" w:sz="4" w:space="0"/>
              <w:right w:val="single" w:color="auto" w:sz="4" w:space="0"/>
            </w:tcBorders>
            <w:shd w:val="clear" w:color="000000" w:fill="002060"/>
            <w:vAlign w:val="bottom"/>
            <w:hideMark/>
          </w:tcPr>
          <w:p w:rsidRPr="00743803" w:rsidR="002352AE" w:rsidP="00825ECC" w:rsidRDefault="002352AE" w14:paraId="0C319C41" w14:textId="77777777">
            <w:pPr>
              <w:spacing w:after="0" w:line="240" w:lineRule="auto"/>
              <w:jc w:val="center"/>
              <w:rPr>
                <w:rFonts w:eastAsia="Times New Roman" w:cs="Calibri"/>
                <w:b/>
                <w:bCs/>
                <w:color w:val="FFFFFF"/>
                <w:sz w:val="20"/>
                <w:szCs w:val="20"/>
                <w:lang w:val="es-CO" w:eastAsia="es-CO"/>
              </w:rPr>
            </w:pPr>
            <w:r w:rsidRPr="00743803">
              <w:rPr>
                <w:rFonts w:eastAsia="Times New Roman" w:cs="Calibri"/>
                <w:b/>
                <w:bCs/>
                <w:color w:val="FFFFFF"/>
                <w:sz w:val="20"/>
                <w:szCs w:val="20"/>
                <w:lang w:val="es-CO" w:eastAsia="es-CO"/>
              </w:rPr>
              <w:t>Tipo</w:t>
            </w:r>
          </w:p>
        </w:tc>
        <w:tc>
          <w:tcPr>
            <w:tcW w:w="813" w:type="pct"/>
            <w:tcBorders>
              <w:top w:val="single" w:color="auto" w:sz="4" w:space="0"/>
              <w:left w:val="nil"/>
              <w:bottom w:val="single" w:color="auto" w:sz="4" w:space="0"/>
              <w:right w:val="single" w:color="auto" w:sz="4" w:space="0"/>
            </w:tcBorders>
            <w:shd w:val="clear" w:color="000000" w:fill="002060"/>
            <w:vAlign w:val="bottom"/>
            <w:hideMark/>
          </w:tcPr>
          <w:p w:rsidRPr="00743803" w:rsidR="002352AE" w:rsidP="00825ECC" w:rsidRDefault="002352AE" w14:paraId="664427CD" w14:textId="77777777">
            <w:pPr>
              <w:spacing w:after="0" w:line="240" w:lineRule="auto"/>
              <w:jc w:val="center"/>
              <w:rPr>
                <w:rFonts w:eastAsia="Times New Roman" w:cs="Calibri"/>
                <w:b/>
                <w:bCs/>
                <w:color w:val="FFFFFF"/>
                <w:sz w:val="20"/>
                <w:szCs w:val="20"/>
                <w:lang w:val="es-CO" w:eastAsia="es-CO"/>
              </w:rPr>
            </w:pPr>
            <w:r w:rsidRPr="00743803">
              <w:rPr>
                <w:rFonts w:eastAsia="Times New Roman" w:cs="Calibri"/>
                <w:b/>
                <w:bCs/>
                <w:color w:val="FFFFFF"/>
                <w:sz w:val="20"/>
                <w:szCs w:val="20"/>
                <w:lang w:val="es-CO" w:eastAsia="es-CO"/>
              </w:rPr>
              <w:t>Estado</w:t>
            </w:r>
          </w:p>
        </w:tc>
        <w:tc>
          <w:tcPr>
            <w:tcW w:w="1043" w:type="pct"/>
            <w:tcBorders>
              <w:top w:val="single" w:color="auto" w:sz="4" w:space="0"/>
              <w:left w:val="nil"/>
              <w:bottom w:val="single" w:color="auto" w:sz="4" w:space="0"/>
              <w:right w:val="single" w:color="auto" w:sz="4" w:space="0"/>
            </w:tcBorders>
            <w:shd w:val="clear" w:color="000000" w:fill="002060"/>
            <w:vAlign w:val="bottom"/>
            <w:hideMark/>
          </w:tcPr>
          <w:p w:rsidRPr="00743803" w:rsidR="002352AE" w:rsidP="00825ECC" w:rsidRDefault="002352AE" w14:paraId="5FB7DA88" w14:textId="77777777">
            <w:pPr>
              <w:spacing w:after="0" w:line="240" w:lineRule="auto"/>
              <w:jc w:val="center"/>
              <w:rPr>
                <w:rFonts w:eastAsia="Times New Roman" w:cs="Calibri"/>
                <w:b/>
                <w:bCs/>
                <w:color w:val="FFFFFF"/>
                <w:sz w:val="20"/>
                <w:szCs w:val="20"/>
                <w:lang w:val="es-CO" w:eastAsia="es-CO"/>
              </w:rPr>
            </w:pPr>
            <w:r w:rsidRPr="00743803">
              <w:rPr>
                <w:rFonts w:eastAsia="Times New Roman" w:cs="Calibri"/>
                <w:b/>
                <w:bCs/>
                <w:color w:val="FFFFFF"/>
                <w:sz w:val="20"/>
                <w:szCs w:val="20"/>
                <w:lang w:val="es-CO" w:eastAsia="es-CO"/>
              </w:rPr>
              <w:t>Fuente</w:t>
            </w:r>
          </w:p>
        </w:tc>
      </w:tr>
      <w:tr w:rsidRPr="00743803" w:rsidR="002352AE" w:rsidTr="00825ECC" w14:paraId="3FE87562" w14:textId="77777777">
        <w:trPr>
          <w:trHeight w:val="765"/>
        </w:trPr>
        <w:tc>
          <w:tcPr>
            <w:tcW w:w="868" w:type="pct"/>
            <w:tcBorders>
              <w:top w:val="nil"/>
              <w:left w:val="single" w:color="auto" w:sz="4" w:space="0"/>
              <w:bottom w:val="single" w:color="auto" w:sz="4" w:space="0"/>
              <w:right w:val="single" w:color="auto" w:sz="4" w:space="0"/>
            </w:tcBorders>
            <w:vAlign w:val="center"/>
            <w:hideMark/>
          </w:tcPr>
          <w:p w:rsidRPr="00743803" w:rsidR="002352AE" w:rsidP="00825ECC" w:rsidRDefault="002352AE" w14:paraId="71D1920B"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Leticia</w:t>
            </w:r>
          </w:p>
        </w:tc>
        <w:tc>
          <w:tcPr>
            <w:tcW w:w="1334" w:type="pct"/>
            <w:tcBorders>
              <w:top w:val="nil"/>
              <w:left w:val="nil"/>
              <w:bottom w:val="single" w:color="auto" w:sz="4" w:space="0"/>
              <w:right w:val="single" w:color="auto" w:sz="4" w:space="0"/>
            </w:tcBorders>
            <w:vAlign w:val="center"/>
            <w:hideMark/>
          </w:tcPr>
          <w:p w:rsidRPr="00743803" w:rsidR="002352AE" w:rsidP="00825ECC" w:rsidRDefault="002352AE" w14:paraId="0FDC9D3F"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Muelle flotante Victoria Regia (pasarela de acceso – prolongación)</w:t>
            </w:r>
          </w:p>
        </w:tc>
        <w:tc>
          <w:tcPr>
            <w:tcW w:w="943" w:type="pct"/>
            <w:tcBorders>
              <w:top w:val="nil"/>
              <w:left w:val="nil"/>
              <w:bottom w:val="single" w:color="auto" w:sz="4" w:space="0"/>
              <w:right w:val="single" w:color="auto" w:sz="4" w:space="0"/>
            </w:tcBorders>
            <w:vAlign w:val="center"/>
            <w:hideMark/>
          </w:tcPr>
          <w:p w:rsidRPr="00743803" w:rsidR="002352AE" w:rsidP="00825ECC" w:rsidRDefault="002352AE" w14:paraId="1D892712"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Mejora de infraestructura fluvial</w:t>
            </w:r>
          </w:p>
        </w:tc>
        <w:tc>
          <w:tcPr>
            <w:tcW w:w="813" w:type="pct"/>
            <w:tcBorders>
              <w:top w:val="nil"/>
              <w:left w:val="nil"/>
              <w:bottom w:val="single" w:color="auto" w:sz="4" w:space="0"/>
              <w:right w:val="single" w:color="auto" w:sz="4" w:space="0"/>
            </w:tcBorders>
            <w:vAlign w:val="center"/>
            <w:hideMark/>
          </w:tcPr>
          <w:p w:rsidRPr="00743803" w:rsidR="002352AE" w:rsidP="00825ECC" w:rsidRDefault="002352AE" w14:paraId="31ACA552"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Ejecución/Mejora</w:t>
            </w:r>
          </w:p>
        </w:tc>
        <w:tc>
          <w:tcPr>
            <w:tcW w:w="1043" w:type="pct"/>
            <w:tcBorders>
              <w:top w:val="nil"/>
              <w:left w:val="nil"/>
              <w:bottom w:val="single" w:color="auto" w:sz="4" w:space="0"/>
              <w:right w:val="single" w:color="auto" w:sz="4" w:space="0"/>
            </w:tcBorders>
            <w:vAlign w:val="center"/>
            <w:hideMark/>
          </w:tcPr>
          <w:p w:rsidRPr="00743803" w:rsidR="002352AE" w:rsidP="00825ECC" w:rsidRDefault="002352AE" w14:paraId="474F1514"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MinTransporte 24/07/2021; SuperTransporte 2022</w:t>
            </w:r>
          </w:p>
        </w:tc>
      </w:tr>
      <w:tr w:rsidRPr="00743803" w:rsidR="002352AE" w:rsidTr="00825ECC" w14:paraId="76A89B26" w14:textId="77777777">
        <w:trPr>
          <w:trHeight w:val="765"/>
        </w:trPr>
        <w:tc>
          <w:tcPr>
            <w:tcW w:w="868" w:type="pct"/>
            <w:tcBorders>
              <w:top w:val="nil"/>
              <w:left w:val="single" w:color="auto" w:sz="4" w:space="0"/>
              <w:bottom w:val="single" w:color="auto" w:sz="4" w:space="0"/>
              <w:right w:val="single" w:color="auto" w:sz="4" w:space="0"/>
            </w:tcBorders>
            <w:vAlign w:val="center"/>
            <w:hideMark/>
          </w:tcPr>
          <w:p w:rsidRPr="00743803" w:rsidR="002352AE" w:rsidP="00825ECC" w:rsidRDefault="002352AE" w14:paraId="53EC17A1"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Puerto Nariño</w:t>
            </w:r>
          </w:p>
        </w:tc>
        <w:tc>
          <w:tcPr>
            <w:tcW w:w="1334" w:type="pct"/>
            <w:tcBorders>
              <w:top w:val="nil"/>
              <w:left w:val="nil"/>
              <w:bottom w:val="single" w:color="auto" w:sz="4" w:space="0"/>
              <w:right w:val="single" w:color="auto" w:sz="4" w:space="0"/>
            </w:tcBorders>
            <w:vAlign w:val="center"/>
            <w:hideMark/>
          </w:tcPr>
          <w:p w:rsidRPr="00743803" w:rsidR="002352AE" w:rsidP="00825ECC" w:rsidRDefault="002352AE" w14:paraId="23534BF7"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Muelle Puerto Nariño</w:t>
            </w:r>
          </w:p>
        </w:tc>
        <w:tc>
          <w:tcPr>
            <w:tcW w:w="943" w:type="pct"/>
            <w:tcBorders>
              <w:top w:val="nil"/>
              <w:left w:val="nil"/>
              <w:bottom w:val="single" w:color="auto" w:sz="4" w:space="0"/>
              <w:right w:val="single" w:color="auto" w:sz="4" w:space="0"/>
            </w:tcBorders>
            <w:vAlign w:val="center"/>
            <w:hideMark/>
          </w:tcPr>
          <w:p w:rsidRPr="00743803" w:rsidR="002352AE" w:rsidP="00825ECC" w:rsidRDefault="002352AE" w14:paraId="4D95F95A"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Construcción</w:t>
            </w:r>
          </w:p>
        </w:tc>
        <w:tc>
          <w:tcPr>
            <w:tcW w:w="813" w:type="pct"/>
            <w:tcBorders>
              <w:top w:val="nil"/>
              <w:left w:val="nil"/>
              <w:bottom w:val="single" w:color="auto" w:sz="4" w:space="0"/>
              <w:right w:val="single" w:color="auto" w:sz="4" w:space="0"/>
            </w:tcBorders>
            <w:vAlign w:val="center"/>
            <w:hideMark/>
          </w:tcPr>
          <w:p w:rsidRPr="00743803" w:rsidR="002352AE" w:rsidP="00825ECC" w:rsidRDefault="002352AE" w14:paraId="0D8BDB7F"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Ejecución/Mejora</w:t>
            </w:r>
          </w:p>
        </w:tc>
        <w:tc>
          <w:tcPr>
            <w:tcW w:w="1043" w:type="pct"/>
            <w:tcBorders>
              <w:top w:val="nil"/>
              <w:left w:val="nil"/>
              <w:bottom w:val="single" w:color="auto" w:sz="4" w:space="0"/>
              <w:right w:val="single" w:color="auto" w:sz="4" w:space="0"/>
            </w:tcBorders>
            <w:vAlign w:val="center"/>
            <w:hideMark/>
          </w:tcPr>
          <w:p w:rsidRPr="00743803" w:rsidR="002352AE" w:rsidP="00825ECC" w:rsidRDefault="002352AE" w14:paraId="49705CE5"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MinTransporte 24/07/2021; SuperTransporte 2022</w:t>
            </w:r>
          </w:p>
        </w:tc>
      </w:tr>
      <w:tr w:rsidRPr="00743803" w:rsidR="002352AE" w:rsidTr="00825ECC" w14:paraId="0C4147C4" w14:textId="77777777">
        <w:trPr>
          <w:trHeight w:val="510"/>
        </w:trPr>
        <w:tc>
          <w:tcPr>
            <w:tcW w:w="868" w:type="pct"/>
            <w:tcBorders>
              <w:top w:val="nil"/>
              <w:left w:val="single" w:color="auto" w:sz="4" w:space="0"/>
              <w:bottom w:val="single" w:color="auto" w:sz="4" w:space="0"/>
              <w:right w:val="single" w:color="auto" w:sz="4" w:space="0"/>
            </w:tcBorders>
            <w:vAlign w:val="center"/>
            <w:hideMark/>
          </w:tcPr>
          <w:p w:rsidRPr="00743803" w:rsidR="002352AE" w:rsidP="00825ECC" w:rsidRDefault="002352AE" w14:paraId="3D54F877"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La Pedrera</w:t>
            </w:r>
          </w:p>
        </w:tc>
        <w:tc>
          <w:tcPr>
            <w:tcW w:w="1334" w:type="pct"/>
            <w:tcBorders>
              <w:top w:val="nil"/>
              <w:left w:val="nil"/>
              <w:bottom w:val="single" w:color="auto" w:sz="4" w:space="0"/>
              <w:right w:val="single" w:color="auto" w:sz="4" w:space="0"/>
            </w:tcBorders>
            <w:vAlign w:val="center"/>
            <w:hideMark/>
          </w:tcPr>
          <w:p w:rsidRPr="00743803" w:rsidR="002352AE" w:rsidP="00825ECC" w:rsidRDefault="002352AE" w14:paraId="7FCCCA37"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Muelle La Pedrera</w:t>
            </w:r>
          </w:p>
        </w:tc>
        <w:tc>
          <w:tcPr>
            <w:tcW w:w="943" w:type="pct"/>
            <w:tcBorders>
              <w:top w:val="nil"/>
              <w:left w:val="nil"/>
              <w:bottom w:val="single" w:color="auto" w:sz="4" w:space="0"/>
              <w:right w:val="single" w:color="auto" w:sz="4" w:space="0"/>
            </w:tcBorders>
            <w:vAlign w:val="center"/>
            <w:hideMark/>
          </w:tcPr>
          <w:p w:rsidRPr="00743803" w:rsidR="002352AE" w:rsidP="00825ECC" w:rsidRDefault="002352AE" w14:paraId="6E7689C7"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Construcción</w:t>
            </w:r>
          </w:p>
        </w:tc>
        <w:tc>
          <w:tcPr>
            <w:tcW w:w="813" w:type="pct"/>
            <w:tcBorders>
              <w:top w:val="nil"/>
              <w:left w:val="nil"/>
              <w:bottom w:val="single" w:color="auto" w:sz="4" w:space="0"/>
              <w:right w:val="single" w:color="auto" w:sz="4" w:space="0"/>
            </w:tcBorders>
            <w:vAlign w:val="center"/>
            <w:hideMark/>
          </w:tcPr>
          <w:p w:rsidRPr="00743803" w:rsidR="002352AE" w:rsidP="00825ECC" w:rsidRDefault="002352AE" w14:paraId="5490836A"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Ejecución/Mejora</w:t>
            </w:r>
          </w:p>
        </w:tc>
        <w:tc>
          <w:tcPr>
            <w:tcW w:w="1043" w:type="pct"/>
            <w:tcBorders>
              <w:top w:val="nil"/>
              <w:left w:val="nil"/>
              <w:bottom w:val="single" w:color="auto" w:sz="4" w:space="0"/>
              <w:right w:val="single" w:color="auto" w:sz="4" w:space="0"/>
            </w:tcBorders>
            <w:vAlign w:val="center"/>
            <w:hideMark/>
          </w:tcPr>
          <w:p w:rsidRPr="00743803" w:rsidR="002352AE" w:rsidP="00825ECC" w:rsidRDefault="002352AE" w14:paraId="470E578B"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MinTransporte 24/07/2021</w:t>
            </w:r>
          </w:p>
        </w:tc>
      </w:tr>
      <w:tr w:rsidRPr="00743803" w:rsidR="002352AE" w:rsidTr="00825ECC" w14:paraId="747B1A9C" w14:textId="77777777">
        <w:trPr>
          <w:trHeight w:val="510"/>
        </w:trPr>
        <w:tc>
          <w:tcPr>
            <w:tcW w:w="868" w:type="pct"/>
            <w:tcBorders>
              <w:top w:val="nil"/>
              <w:left w:val="single" w:color="auto" w:sz="4" w:space="0"/>
              <w:bottom w:val="single" w:color="auto" w:sz="4" w:space="0"/>
              <w:right w:val="single" w:color="auto" w:sz="4" w:space="0"/>
            </w:tcBorders>
            <w:vAlign w:val="center"/>
            <w:hideMark/>
          </w:tcPr>
          <w:p w:rsidRPr="00743803" w:rsidR="002352AE" w:rsidP="00825ECC" w:rsidRDefault="002352AE" w14:paraId="3F6ADCA1"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La Chorrera</w:t>
            </w:r>
          </w:p>
        </w:tc>
        <w:tc>
          <w:tcPr>
            <w:tcW w:w="1334" w:type="pct"/>
            <w:tcBorders>
              <w:top w:val="nil"/>
              <w:left w:val="nil"/>
              <w:bottom w:val="single" w:color="auto" w:sz="4" w:space="0"/>
              <w:right w:val="single" w:color="auto" w:sz="4" w:space="0"/>
            </w:tcBorders>
            <w:vAlign w:val="center"/>
            <w:hideMark/>
          </w:tcPr>
          <w:p w:rsidRPr="00743803" w:rsidR="002352AE" w:rsidP="00825ECC" w:rsidRDefault="002352AE" w14:paraId="019EEFB3"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Muelle La Chorrera</w:t>
            </w:r>
          </w:p>
        </w:tc>
        <w:tc>
          <w:tcPr>
            <w:tcW w:w="943" w:type="pct"/>
            <w:tcBorders>
              <w:top w:val="nil"/>
              <w:left w:val="nil"/>
              <w:bottom w:val="single" w:color="auto" w:sz="4" w:space="0"/>
              <w:right w:val="single" w:color="auto" w:sz="4" w:space="0"/>
            </w:tcBorders>
            <w:vAlign w:val="center"/>
            <w:hideMark/>
          </w:tcPr>
          <w:p w:rsidRPr="00743803" w:rsidR="002352AE" w:rsidP="00825ECC" w:rsidRDefault="002352AE" w14:paraId="495E4606"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Construcción</w:t>
            </w:r>
          </w:p>
        </w:tc>
        <w:tc>
          <w:tcPr>
            <w:tcW w:w="813" w:type="pct"/>
            <w:tcBorders>
              <w:top w:val="nil"/>
              <w:left w:val="nil"/>
              <w:bottom w:val="single" w:color="auto" w:sz="4" w:space="0"/>
              <w:right w:val="single" w:color="auto" w:sz="4" w:space="0"/>
            </w:tcBorders>
            <w:vAlign w:val="center"/>
            <w:hideMark/>
          </w:tcPr>
          <w:p w:rsidRPr="00743803" w:rsidR="002352AE" w:rsidP="00825ECC" w:rsidRDefault="002352AE" w14:paraId="40B11D29"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Ejecución/Mejora</w:t>
            </w:r>
          </w:p>
        </w:tc>
        <w:tc>
          <w:tcPr>
            <w:tcW w:w="1043" w:type="pct"/>
            <w:tcBorders>
              <w:top w:val="nil"/>
              <w:left w:val="nil"/>
              <w:bottom w:val="single" w:color="auto" w:sz="4" w:space="0"/>
              <w:right w:val="single" w:color="auto" w:sz="4" w:space="0"/>
            </w:tcBorders>
            <w:vAlign w:val="center"/>
            <w:hideMark/>
          </w:tcPr>
          <w:p w:rsidRPr="00743803" w:rsidR="002352AE" w:rsidP="00825ECC" w:rsidRDefault="002352AE" w14:paraId="65B8900C"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MinTransporte 24/07/2021</w:t>
            </w:r>
          </w:p>
        </w:tc>
      </w:tr>
      <w:tr w:rsidRPr="00743803" w:rsidR="002352AE" w:rsidTr="00825ECC" w14:paraId="29C24E4B" w14:textId="77777777">
        <w:trPr>
          <w:trHeight w:val="510"/>
        </w:trPr>
        <w:tc>
          <w:tcPr>
            <w:tcW w:w="868" w:type="pct"/>
            <w:tcBorders>
              <w:top w:val="nil"/>
              <w:left w:val="single" w:color="auto" w:sz="4" w:space="0"/>
              <w:bottom w:val="single" w:color="auto" w:sz="4" w:space="0"/>
              <w:right w:val="single" w:color="auto" w:sz="4" w:space="0"/>
            </w:tcBorders>
            <w:vAlign w:val="center"/>
            <w:hideMark/>
          </w:tcPr>
          <w:p w:rsidRPr="00743803" w:rsidR="002352AE" w:rsidP="00825ECC" w:rsidRDefault="002352AE" w14:paraId="31B8D559"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Tarapacá</w:t>
            </w:r>
          </w:p>
        </w:tc>
        <w:tc>
          <w:tcPr>
            <w:tcW w:w="1334" w:type="pct"/>
            <w:tcBorders>
              <w:top w:val="nil"/>
              <w:left w:val="nil"/>
              <w:bottom w:val="single" w:color="auto" w:sz="4" w:space="0"/>
              <w:right w:val="single" w:color="auto" w:sz="4" w:space="0"/>
            </w:tcBorders>
            <w:vAlign w:val="center"/>
            <w:hideMark/>
          </w:tcPr>
          <w:p w:rsidRPr="00743803" w:rsidR="002352AE" w:rsidP="00825ECC" w:rsidRDefault="002352AE" w14:paraId="1ADD88C8"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Muelle Tarapacá</w:t>
            </w:r>
          </w:p>
        </w:tc>
        <w:tc>
          <w:tcPr>
            <w:tcW w:w="943" w:type="pct"/>
            <w:tcBorders>
              <w:top w:val="nil"/>
              <w:left w:val="nil"/>
              <w:bottom w:val="single" w:color="auto" w:sz="4" w:space="0"/>
              <w:right w:val="single" w:color="auto" w:sz="4" w:space="0"/>
            </w:tcBorders>
            <w:vAlign w:val="center"/>
            <w:hideMark/>
          </w:tcPr>
          <w:p w:rsidRPr="00743803" w:rsidR="002352AE" w:rsidP="00825ECC" w:rsidRDefault="002352AE" w14:paraId="3FD52524"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Obra de muelle</w:t>
            </w:r>
          </w:p>
        </w:tc>
        <w:tc>
          <w:tcPr>
            <w:tcW w:w="813" w:type="pct"/>
            <w:tcBorders>
              <w:top w:val="nil"/>
              <w:left w:val="nil"/>
              <w:bottom w:val="single" w:color="auto" w:sz="4" w:space="0"/>
              <w:right w:val="single" w:color="auto" w:sz="4" w:space="0"/>
            </w:tcBorders>
            <w:vAlign w:val="center"/>
            <w:hideMark/>
          </w:tcPr>
          <w:p w:rsidRPr="00743803" w:rsidR="002352AE" w:rsidP="00825ECC" w:rsidRDefault="002352AE" w14:paraId="6EFEB0AA"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Ejecución/Mejora</w:t>
            </w:r>
          </w:p>
        </w:tc>
        <w:tc>
          <w:tcPr>
            <w:tcW w:w="1043" w:type="pct"/>
            <w:tcBorders>
              <w:top w:val="nil"/>
              <w:left w:val="nil"/>
              <w:bottom w:val="single" w:color="auto" w:sz="4" w:space="0"/>
              <w:right w:val="single" w:color="auto" w:sz="4" w:space="0"/>
            </w:tcBorders>
            <w:vAlign w:val="center"/>
            <w:hideMark/>
          </w:tcPr>
          <w:p w:rsidRPr="00743803" w:rsidR="002352AE" w:rsidP="00825ECC" w:rsidRDefault="002352AE" w14:paraId="3BCC5AC0" w14:textId="77777777">
            <w:pPr>
              <w:spacing w:after="0" w:line="240" w:lineRule="auto"/>
              <w:rPr>
                <w:rFonts w:eastAsia="Times New Roman" w:cs="Calibri"/>
                <w:color w:val="000000"/>
                <w:sz w:val="20"/>
                <w:szCs w:val="20"/>
                <w:lang w:val="es-CO" w:eastAsia="es-CO"/>
              </w:rPr>
            </w:pPr>
            <w:r w:rsidRPr="00743803">
              <w:rPr>
                <w:rFonts w:eastAsia="Times New Roman" w:cs="Calibri"/>
                <w:color w:val="000000"/>
                <w:sz w:val="20"/>
                <w:szCs w:val="20"/>
                <w:lang w:val="es-CO" w:eastAsia="es-CO"/>
              </w:rPr>
              <w:t>MinTransporte 24/07/2021</w:t>
            </w:r>
          </w:p>
        </w:tc>
      </w:tr>
    </w:tbl>
    <w:p w:rsidR="002352AE" w:rsidP="002352AE" w:rsidRDefault="002352AE" w14:paraId="1E426538" w14:textId="77777777">
      <w:pPr>
        <w:jc w:val="both"/>
        <w:rPr>
          <w:bCs/>
          <w:sz w:val="24"/>
          <w:szCs w:val="24"/>
          <w:lang w:val="es-CO"/>
        </w:rPr>
      </w:pPr>
    </w:p>
    <w:p w:rsidR="00C1168C" w:rsidP="002352AE" w:rsidRDefault="00C1168C" w14:paraId="46B57FCF" w14:textId="77777777">
      <w:pPr>
        <w:jc w:val="both"/>
        <w:rPr>
          <w:bCs/>
          <w:sz w:val="24"/>
          <w:szCs w:val="24"/>
          <w:lang w:val="es-CO"/>
        </w:rPr>
      </w:pPr>
    </w:p>
    <w:p w:rsidRPr="002352AE" w:rsidR="002352AE" w:rsidP="002352AE" w:rsidRDefault="002352AE" w14:paraId="7431E43E" w14:textId="77ED438F">
      <w:pPr>
        <w:pStyle w:val="Descripcin"/>
        <w:spacing w:after="160"/>
        <w:jc w:val="center"/>
        <w:rPr>
          <w:rFonts w:cs="Calibri"/>
          <w:sz w:val="20"/>
          <w:szCs w:val="20"/>
          <w:lang w:val="es-CO"/>
        </w:rPr>
      </w:pPr>
      <w:bookmarkStart w:name="_Toc216558749" w:id="39"/>
      <w:r w:rsidRPr="002352AE">
        <w:rPr>
          <w:sz w:val="20"/>
          <w:szCs w:val="20"/>
        </w:rPr>
        <w:t xml:space="preserve">Tabla </w:t>
      </w:r>
      <w:r w:rsidRPr="002352AE">
        <w:rPr>
          <w:sz w:val="20"/>
          <w:szCs w:val="20"/>
        </w:rPr>
        <w:fldChar w:fldCharType="begin"/>
      </w:r>
      <w:r w:rsidRPr="002352AE">
        <w:rPr>
          <w:sz w:val="20"/>
          <w:szCs w:val="20"/>
        </w:rPr>
        <w:instrText xml:space="preserve"> SEQ Tabla \* ARABIC </w:instrText>
      </w:r>
      <w:r w:rsidRPr="002352AE">
        <w:rPr>
          <w:sz w:val="20"/>
          <w:szCs w:val="20"/>
        </w:rPr>
        <w:fldChar w:fldCharType="separate"/>
      </w:r>
      <w:r w:rsidR="00EE79CE">
        <w:rPr>
          <w:noProof/>
          <w:sz w:val="20"/>
          <w:szCs w:val="20"/>
        </w:rPr>
        <w:t>5</w:t>
      </w:r>
      <w:r w:rsidRPr="002352AE">
        <w:rPr>
          <w:sz w:val="20"/>
          <w:szCs w:val="20"/>
        </w:rPr>
        <w:fldChar w:fldCharType="end"/>
      </w:r>
      <w:r w:rsidRPr="002352AE">
        <w:rPr>
          <w:sz w:val="20"/>
          <w:szCs w:val="20"/>
        </w:rPr>
        <w:t xml:space="preserve"> Vías ilegales y sus impactos ambientales por departamento</w:t>
      </w:r>
      <w:bookmarkEnd w:id="39"/>
    </w:p>
    <w:tbl>
      <w:tblPr>
        <w:tblStyle w:val="Tablaconcuadrcula"/>
        <w:tblW w:w="0" w:type="auto"/>
        <w:jc w:val="center"/>
        <w:tblLook w:val="04A0" w:firstRow="1" w:lastRow="0" w:firstColumn="1" w:lastColumn="0" w:noHBand="0" w:noVBand="1"/>
      </w:tblPr>
      <w:tblGrid>
        <w:gridCol w:w="2338"/>
        <w:gridCol w:w="2337"/>
        <w:gridCol w:w="2338"/>
        <w:gridCol w:w="2337"/>
      </w:tblGrid>
      <w:tr w:rsidRPr="00ED0454" w:rsidR="002352AE" w:rsidTr="00825ECC" w14:paraId="51DCBF2D" w14:textId="77777777">
        <w:trPr>
          <w:jc w:val="center"/>
        </w:trPr>
        <w:tc>
          <w:tcPr>
            <w:tcW w:w="2340" w:type="dxa"/>
            <w:shd w:val="clear" w:color="auto" w:fill="002060"/>
          </w:tcPr>
          <w:p w:rsidRPr="00ED0454" w:rsidR="002352AE" w:rsidP="002352AE" w:rsidRDefault="002352AE" w14:paraId="390E02A1" w14:textId="77777777">
            <w:pPr>
              <w:spacing w:after="0" w:line="240" w:lineRule="auto"/>
              <w:jc w:val="center"/>
              <w:rPr>
                <w:rFonts w:cs="Calibri"/>
                <w:color w:val="FFFFFF" w:themeColor="background1"/>
                <w:sz w:val="20"/>
                <w:szCs w:val="20"/>
              </w:rPr>
            </w:pPr>
            <w:r w:rsidRPr="00ED0454">
              <w:rPr>
                <w:rFonts w:cs="Calibri"/>
                <w:b/>
                <w:color w:val="FFFFFF" w:themeColor="background1"/>
                <w:sz w:val="20"/>
                <w:szCs w:val="20"/>
              </w:rPr>
              <w:t>Departamento</w:t>
            </w:r>
          </w:p>
        </w:tc>
        <w:tc>
          <w:tcPr>
            <w:tcW w:w="2340" w:type="dxa"/>
            <w:shd w:val="clear" w:color="auto" w:fill="002060"/>
          </w:tcPr>
          <w:p w:rsidRPr="00ED0454" w:rsidR="002352AE" w:rsidP="002352AE" w:rsidRDefault="002352AE" w14:paraId="6987A7BD" w14:textId="77777777">
            <w:pPr>
              <w:spacing w:after="0" w:line="240" w:lineRule="auto"/>
              <w:jc w:val="center"/>
              <w:rPr>
                <w:rFonts w:cs="Calibri"/>
                <w:color w:val="FFFFFF" w:themeColor="background1"/>
                <w:sz w:val="20"/>
                <w:szCs w:val="20"/>
              </w:rPr>
            </w:pPr>
            <w:r w:rsidRPr="00ED0454">
              <w:rPr>
                <w:rFonts w:cs="Calibri"/>
                <w:b/>
                <w:color w:val="FFFFFF" w:themeColor="background1"/>
                <w:sz w:val="20"/>
                <w:szCs w:val="20"/>
              </w:rPr>
              <w:t>Km de vías ilegales (2000–2025)</w:t>
            </w:r>
          </w:p>
        </w:tc>
        <w:tc>
          <w:tcPr>
            <w:tcW w:w="2340" w:type="dxa"/>
            <w:shd w:val="clear" w:color="auto" w:fill="002060"/>
          </w:tcPr>
          <w:p w:rsidRPr="00ED0454" w:rsidR="002352AE" w:rsidP="002352AE" w:rsidRDefault="002352AE" w14:paraId="143AE1EB" w14:textId="77777777">
            <w:pPr>
              <w:spacing w:after="0" w:line="240" w:lineRule="auto"/>
              <w:jc w:val="center"/>
              <w:rPr>
                <w:rFonts w:cs="Calibri"/>
                <w:color w:val="FFFFFF" w:themeColor="background1"/>
                <w:sz w:val="20"/>
                <w:szCs w:val="20"/>
              </w:rPr>
            </w:pPr>
            <w:r w:rsidRPr="00ED0454">
              <w:rPr>
                <w:rFonts w:cs="Calibri"/>
                <w:b/>
                <w:color w:val="FFFFFF" w:themeColor="background1"/>
                <w:sz w:val="20"/>
                <w:szCs w:val="20"/>
              </w:rPr>
              <w:t>Impactos ambientales</w:t>
            </w:r>
          </w:p>
        </w:tc>
        <w:tc>
          <w:tcPr>
            <w:tcW w:w="2340" w:type="dxa"/>
            <w:shd w:val="clear" w:color="auto" w:fill="002060"/>
          </w:tcPr>
          <w:p w:rsidRPr="00ED0454" w:rsidR="002352AE" w:rsidP="002352AE" w:rsidRDefault="002352AE" w14:paraId="31F9A932" w14:textId="77777777">
            <w:pPr>
              <w:spacing w:after="0" w:line="240" w:lineRule="auto"/>
              <w:jc w:val="center"/>
              <w:rPr>
                <w:rFonts w:cs="Calibri"/>
                <w:color w:val="FFFFFF" w:themeColor="background1"/>
                <w:sz w:val="20"/>
                <w:szCs w:val="20"/>
              </w:rPr>
            </w:pPr>
            <w:r w:rsidRPr="00ED0454">
              <w:rPr>
                <w:rFonts w:cs="Calibri"/>
                <w:b/>
                <w:color w:val="FFFFFF" w:themeColor="background1"/>
                <w:sz w:val="20"/>
                <w:szCs w:val="20"/>
              </w:rPr>
              <w:t>Fuentes</w:t>
            </w:r>
          </w:p>
        </w:tc>
      </w:tr>
      <w:tr w:rsidRPr="00ED0454" w:rsidR="002352AE" w:rsidTr="00825ECC" w14:paraId="2CC73F38" w14:textId="77777777">
        <w:trPr>
          <w:jc w:val="center"/>
        </w:trPr>
        <w:tc>
          <w:tcPr>
            <w:tcW w:w="2340" w:type="dxa"/>
            <w:vAlign w:val="center"/>
          </w:tcPr>
          <w:p w:rsidRPr="00ED0454" w:rsidR="002352AE" w:rsidP="002352AE" w:rsidRDefault="002352AE" w14:paraId="1C9EFD4A" w14:textId="77777777">
            <w:pPr>
              <w:spacing w:after="0" w:line="240" w:lineRule="auto"/>
              <w:rPr>
                <w:rFonts w:cs="Calibri"/>
                <w:sz w:val="20"/>
                <w:szCs w:val="20"/>
              </w:rPr>
            </w:pPr>
            <w:r w:rsidRPr="00ED0454">
              <w:rPr>
                <w:rFonts w:cs="Calibri"/>
                <w:sz w:val="20"/>
                <w:szCs w:val="20"/>
              </w:rPr>
              <w:t>Amazonas</w:t>
            </w:r>
          </w:p>
        </w:tc>
        <w:tc>
          <w:tcPr>
            <w:tcW w:w="2340" w:type="dxa"/>
            <w:vAlign w:val="center"/>
          </w:tcPr>
          <w:p w:rsidRPr="00ED0454" w:rsidR="002352AE" w:rsidP="002352AE" w:rsidRDefault="002352AE" w14:paraId="1A67AE7E" w14:textId="77777777">
            <w:pPr>
              <w:spacing w:after="0" w:line="240" w:lineRule="auto"/>
              <w:rPr>
                <w:rFonts w:cs="Calibri"/>
                <w:sz w:val="20"/>
                <w:szCs w:val="20"/>
                <w:lang w:val="es-CO"/>
              </w:rPr>
            </w:pPr>
            <w:r w:rsidRPr="00ED0454">
              <w:rPr>
                <w:rFonts w:cs="Calibri"/>
                <w:sz w:val="20"/>
                <w:szCs w:val="20"/>
                <w:lang w:val="es-CO"/>
              </w:rPr>
              <w:t>Incluido en &gt;28.000 km totales (sin desglose específico)</w:t>
            </w:r>
          </w:p>
        </w:tc>
        <w:tc>
          <w:tcPr>
            <w:tcW w:w="2340" w:type="dxa"/>
            <w:vAlign w:val="center"/>
          </w:tcPr>
          <w:p w:rsidRPr="00ED0454" w:rsidR="002352AE" w:rsidP="002352AE" w:rsidRDefault="002352AE" w14:paraId="169DCA81" w14:textId="77777777">
            <w:pPr>
              <w:spacing w:after="0" w:line="240" w:lineRule="auto"/>
              <w:rPr>
                <w:rFonts w:cs="Calibri"/>
                <w:sz w:val="20"/>
                <w:szCs w:val="20"/>
                <w:lang w:val="es-CO"/>
              </w:rPr>
            </w:pPr>
            <w:r w:rsidRPr="00ED0454">
              <w:rPr>
                <w:rFonts w:cs="Calibri"/>
                <w:sz w:val="20"/>
                <w:szCs w:val="20"/>
                <w:lang w:val="es-CO"/>
              </w:rPr>
              <w:t>Deforestación en reservas, fragmentación de hábitats, pérdida de conectividad fluvial</w:t>
            </w:r>
          </w:p>
        </w:tc>
        <w:tc>
          <w:tcPr>
            <w:tcW w:w="2340" w:type="dxa"/>
            <w:vAlign w:val="center"/>
          </w:tcPr>
          <w:p w:rsidRPr="00ED0454" w:rsidR="002352AE" w:rsidP="002352AE" w:rsidRDefault="002352AE" w14:paraId="3E6E6937" w14:textId="77777777">
            <w:pPr>
              <w:spacing w:after="0" w:line="240" w:lineRule="auto"/>
              <w:rPr>
                <w:rFonts w:cs="Calibri"/>
                <w:sz w:val="20"/>
                <w:szCs w:val="20"/>
              </w:rPr>
            </w:pPr>
            <w:r w:rsidRPr="00ED0454">
              <w:rPr>
                <w:rFonts w:cs="Calibri"/>
                <w:sz w:val="20"/>
                <w:szCs w:val="20"/>
              </w:rPr>
              <w:t>Procuraduría 2025; Mongabay 2025</w:t>
            </w:r>
          </w:p>
        </w:tc>
      </w:tr>
      <w:tr w:rsidRPr="00ED0454" w:rsidR="002352AE" w:rsidTr="00825ECC" w14:paraId="46444251" w14:textId="77777777">
        <w:trPr>
          <w:jc w:val="center"/>
        </w:trPr>
        <w:tc>
          <w:tcPr>
            <w:tcW w:w="2340" w:type="dxa"/>
            <w:vAlign w:val="center"/>
          </w:tcPr>
          <w:p w:rsidRPr="00ED0454" w:rsidR="002352AE" w:rsidP="002352AE" w:rsidRDefault="002352AE" w14:paraId="72D111D2" w14:textId="77777777">
            <w:pPr>
              <w:spacing w:after="0" w:line="240" w:lineRule="auto"/>
              <w:rPr>
                <w:rFonts w:cs="Calibri"/>
                <w:sz w:val="20"/>
                <w:szCs w:val="20"/>
              </w:rPr>
            </w:pPr>
            <w:r w:rsidRPr="00ED0454">
              <w:rPr>
                <w:rFonts w:cs="Calibri"/>
                <w:sz w:val="20"/>
                <w:szCs w:val="20"/>
              </w:rPr>
              <w:t>Caquetá</w:t>
            </w:r>
          </w:p>
        </w:tc>
        <w:tc>
          <w:tcPr>
            <w:tcW w:w="2340" w:type="dxa"/>
            <w:vAlign w:val="center"/>
          </w:tcPr>
          <w:p w:rsidRPr="00ED0454" w:rsidR="002352AE" w:rsidP="002352AE" w:rsidRDefault="002352AE" w14:paraId="59A59442" w14:textId="77777777">
            <w:pPr>
              <w:spacing w:after="0" w:line="240" w:lineRule="auto"/>
              <w:rPr>
                <w:rFonts w:cs="Calibri"/>
                <w:sz w:val="20"/>
                <w:szCs w:val="20"/>
                <w:lang w:val="es-CO"/>
              </w:rPr>
            </w:pPr>
            <w:r w:rsidRPr="00ED0454">
              <w:rPr>
                <w:rFonts w:cs="Calibri"/>
                <w:sz w:val="20"/>
                <w:szCs w:val="20"/>
                <w:lang w:val="es-CO"/>
              </w:rPr>
              <w:t>Parte de 1.107 km (oct 2024–mar 2025) y 28.000 km acumulados</w:t>
            </w:r>
          </w:p>
        </w:tc>
        <w:tc>
          <w:tcPr>
            <w:tcW w:w="2340" w:type="dxa"/>
            <w:vAlign w:val="center"/>
          </w:tcPr>
          <w:p w:rsidRPr="00ED0454" w:rsidR="002352AE" w:rsidP="002352AE" w:rsidRDefault="002352AE" w14:paraId="40358244" w14:textId="77777777">
            <w:pPr>
              <w:spacing w:after="0" w:line="240" w:lineRule="auto"/>
              <w:rPr>
                <w:rFonts w:cs="Calibri"/>
                <w:sz w:val="20"/>
                <w:szCs w:val="20"/>
                <w:lang w:val="es-CO"/>
              </w:rPr>
            </w:pPr>
            <w:r w:rsidRPr="00ED0454">
              <w:rPr>
                <w:rFonts w:cs="Calibri"/>
                <w:sz w:val="20"/>
                <w:szCs w:val="20"/>
                <w:lang w:val="es-CO"/>
              </w:rPr>
              <w:t>Afectación PNN Chiribiquete, pérdida de bosque primario, emisiones de CO₂</w:t>
            </w:r>
          </w:p>
        </w:tc>
        <w:tc>
          <w:tcPr>
            <w:tcW w:w="2340" w:type="dxa"/>
            <w:vAlign w:val="center"/>
          </w:tcPr>
          <w:p w:rsidRPr="00ED0454" w:rsidR="002352AE" w:rsidP="002352AE" w:rsidRDefault="002352AE" w14:paraId="5FD33FD2" w14:textId="77777777">
            <w:pPr>
              <w:spacing w:after="0" w:line="240" w:lineRule="auto"/>
              <w:rPr>
                <w:rFonts w:cs="Calibri"/>
                <w:sz w:val="20"/>
                <w:szCs w:val="20"/>
              </w:rPr>
            </w:pPr>
            <w:r w:rsidRPr="00ED0454">
              <w:rPr>
                <w:rFonts w:cs="Calibri"/>
                <w:sz w:val="20"/>
                <w:szCs w:val="20"/>
              </w:rPr>
              <w:t>Procuraduría; MAAP; Mongabay</w:t>
            </w:r>
          </w:p>
        </w:tc>
      </w:tr>
      <w:tr w:rsidRPr="00ED0454" w:rsidR="002352AE" w:rsidTr="00825ECC" w14:paraId="45416017" w14:textId="77777777">
        <w:trPr>
          <w:jc w:val="center"/>
        </w:trPr>
        <w:tc>
          <w:tcPr>
            <w:tcW w:w="2340" w:type="dxa"/>
            <w:vAlign w:val="center"/>
          </w:tcPr>
          <w:p w:rsidRPr="00ED0454" w:rsidR="002352AE" w:rsidP="002352AE" w:rsidRDefault="002352AE" w14:paraId="43B0EDE6" w14:textId="77777777">
            <w:pPr>
              <w:spacing w:after="0" w:line="240" w:lineRule="auto"/>
              <w:rPr>
                <w:rFonts w:cs="Calibri"/>
                <w:sz w:val="20"/>
                <w:szCs w:val="20"/>
              </w:rPr>
            </w:pPr>
            <w:r w:rsidRPr="00ED0454">
              <w:rPr>
                <w:rFonts w:cs="Calibri"/>
                <w:sz w:val="20"/>
                <w:szCs w:val="20"/>
              </w:rPr>
              <w:t>Putumayo</w:t>
            </w:r>
          </w:p>
        </w:tc>
        <w:tc>
          <w:tcPr>
            <w:tcW w:w="2340" w:type="dxa"/>
            <w:vAlign w:val="center"/>
          </w:tcPr>
          <w:p w:rsidRPr="00ED0454" w:rsidR="002352AE" w:rsidP="002352AE" w:rsidRDefault="002352AE" w14:paraId="75A36D8A" w14:textId="77777777">
            <w:pPr>
              <w:spacing w:after="0" w:line="240" w:lineRule="auto"/>
              <w:rPr>
                <w:rFonts w:cs="Calibri"/>
                <w:sz w:val="20"/>
                <w:szCs w:val="20"/>
                <w:lang w:val="es-CO"/>
              </w:rPr>
            </w:pPr>
            <w:r w:rsidRPr="00ED0454">
              <w:rPr>
                <w:rFonts w:cs="Calibri"/>
                <w:sz w:val="20"/>
                <w:szCs w:val="20"/>
                <w:lang w:val="es-CO"/>
              </w:rPr>
              <w:t>Parte de 1.107 km recientes; correlación con 11.622 ha deforestadas</w:t>
            </w:r>
          </w:p>
        </w:tc>
        <w:tc>
          <w:tcPr>
            <w:tcW w:w="2340" w:type="dxa"/>
            <w:vAlign w:val="center"/>
          </w:tcPr>
          <w:p w:rsidRPr="00ED0454" w:rsidR="002352AE" w:rsidP="002352AE" w:rsidRDefault="002352AE" w14:paraId="19AE30EF" w14:textId="77777777">
            <w:pPr>
              <w:spacing w:after="0" w:line="240" w:lineRule="auto"/>
              <w:rPr>
                <w:rFonts w:cs="Calibri"/>
                <w:sz w:val="20"/>
                <w:szCs w:val="20"/>
                <w:lang w:val="es-CO"/>
              </w:rPr>
            </w:pPr>
            <w:r w:rsidRPr="00ED0454">
              <w:rPr>
                <w:rFonts w:cs="Calibri"/>
                <w:sz w:val="20"/>
                <w:szCs w:val="20"/>
                <w:lang w:val="es-CO"/>
              </w:rPr>
              <w:t>Expansión ganadera, contaminación hídrica, conflictos socioambientales</w:t>
            </w:r>
          </w:p>
        </w:tc>
        <w:tc>
          <w:tcPr>
            <w:tcW w:w="2340" w:type="dxa"/>
            <w:vAlign w:val="center"/>
          </w:tcPr>
          <w:p w:rsidRPr="00ED0454" w:rsidR="002352AE" w:rsidP="002352AE" w:rsidRDefault="002352AE" w14:paraId="4A980695" w14:textId="77777777">
            <w:pPr>
              <w:spacing w:after="0" w:line="240" w:lineRule="auto"/>
              <w:rPr>
                <w:rFonts w:cs="Calibri"/>
                <w:sz w:val="20"/>
                <w:szCs w:val="20"/>
              </w:rPr>
            </w:pPr>
            <w:r w:rsidRPr="00ED0454">
              <w:rPr>
                <w:rFonts w:cs="Calibri"/>
                <w:sz w:val="20"/>
                <w:szCs w:val="20"/>
              </w:rPr>
              <w:t>Procuraduría; Mongabay; SINCHI</w:t>
            </w:r>
          </w:p>
        </w:tc>
      </w:tr>
    </w:tbl>
    <w:p w:rsidR="002352AE" w:rsidP="00590D90" w:rsidRDefault="002352AE" w14:paraId="16F1E4CE" w14:textId="199D74BA">
      <w:pPr>
        <w:jc w:val="center"/>
        <w:rPr>
          <w:rFonts w:cs="Calibri"/>
          <w:sz w:val="24"/>
          <w:szCs w:val="24"/>
          <w:lang w:val="es-CO"/>
        </w:rPr>
      </w:pPr>
      <w:r>
        <w:br/>
      </w:r>
    </w:p>
    <w:p w:rsidR="00527B8C" w:rsidRDefault="00590D90" w14:paraId="0134D7E0" w14:textId="643073C0">
      <w:pPr>
        <w:spacing w:after="0" w:line="360" w:lineRule="auto"/>
        <w:ind w:firstLine="302" w:firstLineChars="126"/>
        <w:jc w:val="both"/>
        <w:rPr>
          <w:rFonts w:cs="Calibri"/>
          <w:sz w:val="24"/>
          <w:szCs w:val="24"/>
          <w:lang w:val="es-CO"/>
        </w:rPr>
      </w:pPr>
      <w:r>
        <w:rPr>
          <w:rFonts w:cs="Calibri"/>
          <w:sz w:val="24"/>
          <w:szCs w:val="24"/>
          <w:lang w:val="es-CO"/>
        </w:rPr>
        <w:t xml:space="preserve">En contraste la información oficial indica que la Amazonía presenta </w:t>
      </w:r>
      <w:r w:rsidRPr="00590D90">
        <w:rPr>
          <w:rFonts w:cs="Calibri"/>
          <w:sz w:val="24"/>
          <w:szCs w:val="24"/>
          <w:lang w:val="es-CO"/>
        </w:rPr>
        <w:t>baja densidad de títulos mineros para materiales de arrastre (materiales de construcción),</w:t>
      </w:r>
      <w:r>
        <w:rPr>
          <w:rFonts w:cs="Calibri"/>
          <w:sz w:val="24"/>
          <w:szCs w:val="24"/>
          <w:lang w:val="es-CO"/>
        </w:rPr>
        <w:t xml:space="preserve"> su principal extracción está cerca de los cascos urbanos en las cuencas fluviales con dinámica sedimentaria:</w:t>
      </w:r>
    </w:p>
    <w:p w:rsidR="00C1168C" w:rsidRDefault="00C1168C" w14:paraId="48A8E1F4" w14:textId="77777777">
      <w:pPr>
        <w:spacing w:after="0" w:line="360" w:lineRule="auto"/>
        <w:ind w:firstLine="302" w:firstLineChars="126"/>
        <w:jc w:val="both"/>
        <w:rPr>
          <w:rFonts w:cs="Calibri"/>
          <w:sz w:val="24"/>
          <w:szCs w:val="24"/>
          <w:lang w:val="es-CO"/>
        </w:rPr>
      </w:pPr>
    </w:p>
    <w:p w:rsidR="00527B8C" w:rsidRDefault="00212A57" w14:paraId="634A6C5D" w14:textId="77777777">
      <w:pPr>
        <w:numPr>
          <w:ilvl w:val="0"/>
          <w:numId w:val="37"/>
        </w:numPr>
        <w:spacing w:after="0" w:line="360" w:lineRule="auto"/>
        <w:ind w:firstLine="304" w:firstLineChars="126"/>
        <w:jc w:val="both"/>
        <w:rPr>
          <w:rFonts w:cs="Calibri"/>
          <w:b/>
          <w:bCs/>
          <w:sz w:val="24"/>
          <w:szCs w:val="24"/>
          <w:lang w:val="es-CO"/>
        </w:rPr>
      </w:pPr>
      <w:r>
        <w:rPr>
          <w:rFonts w:cs="Calibri"/>
          <w:b/>
          <w:bCs/>
          <w:sz w:val="24"/>
          <w:szCs w:val="24"/>
          <w:lang w:val="es-CO"/>
        </w:rPr>
        <w:t xml:space="preserve">Cuenca del Río Putumayo: </w:t>
      </w:r>
      <w:r>
        <w:rPr>
          <w:rFonts w:cs="Calibri"/>
          <w:sz w:val="24"/>
          <w:szCs w:val="24"/>
          <w:lang w:val="es-CO"/>
        </w:rPr>
        <w:t>Nace en el Macizo Colombiano, recorre el Valle de Sibundoy y se extiende hasta la frontera con Ecuador y Perú, desembocando en el Amazonas. Presenta depósitos aluviales y terrazas fluviales con arenas y gravas aptas para construcción.</w:t>
      </w:r>
      <w:r>
        <w:rPr>
          <w:rStyle w:val="Refdenotaalpie"/>
          <w:rFonts w:cs="Calibri"/>
          <w:sz w:val="24"/>
          <w:szCs w:val="24"/>
          <w:lang w:val="es-CO"/>
        </w:rPr>
        <w:footnoteReference w:id="33"/>
      </w:r>
      <w:r>
        <w:rPr>
          <w:rFonts w:cs="Calibri"/>
          <w:b/>
          <w:bCs/>
          <w:sz w:val="24"/>
          <w:szCs w:val="24"/>
          <w:lang w:val="es-CO"/>
        </w:rPr>
        <w:t xml:space="preserve"> </w:t>
      </w:r>
    </w:p>
    <w:p w:rsidR="00527B8C" w:rsidRDefault="00212A57" w14:paraId="392C0A46" w14:textId="77777777">
      <w:pPr>
        <w:numPr>
          <w:ilvl w:val="0"/>
          <w:numId w:val="37"/>
        </w:numPr>
        <w:spacing w:after="0" w:line="360" w:lineRule="auto"/>
        <w:ind w:firstLine="304" w:firstLineChars="126"/>
        <w:jc w:val="both"/>
        <w:rPr>
          <w:rFonts w:cs="Calibri"/>
          <w:b/>
          <w:bCs/>
          <w:sz w:val="24"/>
          <w:szCs w:val="24"/>
          <w:lang w:val="es-CO"/>
        </w:rPr>
      </w:pPr>
      <w:r>
        <w:rPr>
          <w:rFonts w:cs="Calibri"/>
          <w:b/>
          <w:bCs/>
          <w:sz w:val="24"/>
          <w:szCs w:val="24"/>
          <w:lang w:val="es-CO"/>
        </w:rPr>
        <w:t xml:space="preserve">Cuenca del Río Caquetá: </w:t>
      </w:r>
      <w:r>
        <w:rPr>
          <w:rFonts w:cs="Calibri"/>
          <w:sz w:val="24"/>
          <w:szCs w:val="24"/>
          <w:lang w:val="es-CO"/>
        </w:rPr>
        <w:t>Abarca 267.730 km², atraviesa Cauca, Putumayo, Caquetá, Guaviare, Vaupés y Amazonas. Su geología incluye capas fluvio-lacustres del Plioceno y depósitos cuaternarios ricos en arenas y gravas.</w:t>
      </w:r>
      <w:r>
        <w:rPr>
          <w:rStyle w:val="Refdenotaalpie"/>
          <w:rFonts w:cs="Calibri"/>
          <w:sz w:val="24"/>
          <w:szCs w:val="24"/>
          <w:lang w:val="es-CO"/>
        </w:rPr>
        <w:footnoteReference w:id="34"/>
      </w:r>
      <w:r>
        <w:rPr>
          <w:rFonts w:cs="Calibri"/>
          <w:b/>
          <w:bCs/>
          <w:sz w:val="24"/>
          <w:szCs w:val="24"/>
          <w:lang w:val="es-CO"/>
        </w:rPr>
        <w:t xml:space="preserve"> </w:t>
      </w:r>
    </w:p>
    <w:p w:rsidR="00527B8C" w:rsidRDefault="00527B8C" w14:paraId="6992E03E" w14:textId="77777777">
      <w:pPr>
        <w:spacing w:after="0" w:line="360" w:lineRule="auto"/>
        <w:jc w:val="both"/>
        <w:rPr>
          <w:rFonts w:cs="Calibri"/>
          <w:b/>
          <w:bCs/>
          <w:sz w:val="24"/>
          <w:szCs w:val="24"/>
          <w:lang w:val="es-CO"/>
        </w:rPr>
      </w:pPr>
    </w:p>
    <w:p w:rsidR="00C1168C" w:rsidRDefault="00C1168C" w14:paraId="1AB836FD" w14:textId="77777777">
      <w:pPr>
        <w:spacing w:after="0" w:line="360" w:lineRule="auto"/>
        <w:jc w:val="both"/>
        <w:rPr>
          <w:rFonts w:cs="Calibri"/>
          <w:b/>
          <w:bCs/>
          <w:sz w:val="24"/>
          <w:szCs w:val="24"/>
          <w:lang w:val="es-CO"/>
        </w:rPr>
      </w:pPr>
    </w:p>
    <w:p w:rsidR="00C1168C" w:rsidRDefault="00C1168C" w14:paraId="44E28FE9" w14:textId="77777777">
      <w:pPr>
        <w:spacing w:after="0" w:line="360" w:lineRule="auto"/>
        <w:jc w:val="both"/>
        <w:rPr>
          <w:rFonts w:cs="Calibri"/>
          <w:b/>
          <w:bCs/>
          <w:sz w:val="24"/>
          <w:szCs w:val="24"/>
          <w:lang w:val="es-CO"/>
        </w:rPr>
      </w:pPr>
    </w:p>
    <w:p w:rsidR="00C1168C" w:rsidRDefault="00C1168C" w14:paraId="26114CF2" w14:textId="77777777">
      <w:pPr>
        <w:spacing w:after="0" w:line="360" w:lineRule="auto"/>
        <w:jc w:val="both"/>
        <w:rPr>
          <w:rFonts w:cs="Calibri"/>
          <w:b/>
          <w:bCs/>
          <w:sz w:val="24"/>
          <w:szCs w:val="24"/>
          <w:lang w:val="es-CO"/>
        </w:rPr>
      </w:pPr>
    </w:p>
    <w:p w:rsidR="00527B8C" w:rsidRDefault="00212A57" w14:paraId="42B188EF" w14:textId="77777777">
      <w:pPr>
        <w:pStyle w:val="Ttulo3"/>
        <w:keepNext w:val="0"/>
        <w:keepLines w:val="0"/>
        <w:spacing w:before="0" w:line="360" w:lineRule="auto"/>
        <w:jc w:val="both"/>
        <w:rPr>
          <w:rFonts w:ascii="Calibri" w:hAnsi="Calibri" w:eastAsia="Calibri" w:cs="Calibri"/>
          <w:sz w:val="24"/>
          <w:szCs w:val="24"/>
          <w:lang w:val="es-CO"/>
        </w:rPr>
      </w:pPr>
      <w:bookmarkStart w:name="_Toc1724877021" w:id="1817932694"/>
      <w:r w:rsidRPr="53DEF7DD" w:rsidR="670101B5">
        <w:rPr>
          <w:rFonts w:ascii="Calibri" w:hAnsi="Calibri" w:eastAsia="Calibri" w:cs="Calibri"/>
          <w:sz w:val="24"/>
          <w:szCs w:val="24"/>
          <w:lang w:val="es-CO"/>
        </w:rPr>
        <w:t>4.4.1. Sitios de Extracción</w:t>
      </w:r>
      <w:bookmarkEnd w:id="1817932694"/>
    </w:p>
    <w:p w:rsidR="00527B8C" w:rsidRDefault="00527B8C" w14:paraId="2FDF0D92" w14:textId="77777777">
      <w:pPr>
        <w:spacing w:line="360" w:lineRule="auto"/>
        <w:jc w:val="both"/>
        <w:rPr>
          <w:lang w:val="es-CO"/>
        </w:rPr>
      </w:pPr>
    </w:p>
    <w:p w:rsidR="00527B8C" w:rsidRDefault="00212A57" w14:paraId="1B185E3A" w14:textId="77777777">
      <w:pPr>
        <w:spacing w:line="360" w:lineRule="auto"/>
        <w:ind w:firstLine="302" w:firstLineChars="126"/>
        <w:jc w:val="both"/>
        <w:rPr>
          <w:rFonts w:cs="Calibri"/>
          <w:sz w:val="24"/>
          <w:szCs w:val="24"/>
          <w:lang w:val="es-CO"/>
        </w:rPr>
      </w:pPr>
      <w:r>
        <w:rPr>
          <w:rFonts w:cs="Calibri"/>
          <w:sz w:val="24"/>
          <w:szCs w:val="24"/>
          <w:lang w:val="es-CO"/>
        </w:rPr>
        <w:t xml:space="preserve">En Colombia la producción de gravas, arenas, arcillas y recebo, no solo se realiza a través de la titulación de pequeña, mediana y gran minería. La minería de subsistencia, entendida como: “La actividad minera desarrollada por personas naturales o grupo de personas que se dedican a la extracción y recolección a cielo abierto, de arenas y gravas de río destinadas a la industria de la construcción, con medios y herramientas manuales, sin la utilización de ningún tipo de equipo mecanizado o maquinaria para su </w:t>
      </w:r>
      <w:r>
        <w:rPr>
          <w:rFonts w:cs="Calibri"/>
          <w:sz w:val="24"/>
          <w:szCs w:val="24"/>
          <w:lang w:val="es-CO"/>
        </w:rPr>
        <w:t>arranque, se define como minería de subsistencia de acuerdo Resolución 40103 de 2017 del Ministerio de Minas y Energía”.</w:t>
      </w:r>
    </w:p>
    <w:p w:rsidR="00527B8C" w:rsidP="00DD5AA1" w:rsidRDefault="00212A57" w14:paraId="1EF74EC0" w14:textId="57C53C48">
      <w:pPr>
        <w:spacing w:after="160" w:line="360" w:lineRule="auto"/>
        <w:ind w:firstLine="302" w:firstLineChars="126"/>
        <w:jc w:val="both"/>
        <w:rPr>
          <w:rFonts w:cs="Calibri"/>
          <w:sz w:val="24"/>
          <w:szCs w:val="24"/>
          <w:lang w:val="es-CO"/>
        </w:rPr>
      </w:pPr>
      <w:r>
        <w:rPr>
          <w:rFonts w:cs="Calibri"/>
          <w:sz w:val="24"/>
          <w:szCs w:val="24"/>
          <w:lang w:val="es-CO"/>
        </w:rPr>
        <w:t>Geomorfológicamente, la Amazonia está compuesta por planicies fluviales, terrazas aluviales, meandros activos y antiguos, albardones y zonas de inundación estacional, elementos que determinan la formación, acumulación y movilidad de áridos como arenas y gravas. Estos depósitos aluviales se originan por procesos continuos de erosión en cuencas altas; particularmente en la transición Andino-Amazónica, y su posterior transporte a zonas bajas, donde el flujo pierde energía y sedimenta fracciones minerales según</w:t>
      </w:r>
      <w:r>
        <w:rPr>
          <w:rFonts w:cs="Calibri"/>
          <w:sz w:val="24"/>
          <w:szCs w:val="24"/>
          <w:lang w:val="es-CO"/>
        </w:rPr>
        <w:t xml:space="preserve"> su tamaño (Kalamandeen et al., 2020). Debido a esto, los materiales de arrastre amazónicos presentan variabilidad granulométrica, composición heterogénea y una alta renovación natural, lo que los convierte en recursos estratégicos, pero también vulnerables ante procesos extractivos intensivos (UNEP, 2019).</w:t>
      </w:r>
    </w:p>
    <w:p w:rsidR="00C1168C" w:rsidP="00DD5AA1" w:rsidRDefault="00C1168C" w14:paraId="4EB0524E" w14:textId="77777777">
      <w:pPr>
        <w:spacing w:after="160" w:line="360" w:lineRule="auto"/>
        <w:ind w:firstLine="302" w:firstLineChars="126"/>
        <w:jc w:val="both"/>
        <w:rPr>
          <w:rFonts w:cs="Calibri"/>
          <w:sz w:val="24"/>
          <w:szCs w:val="24"/>
          <w:lang w:val="es-CO"/>
        </w:rPr>
      </w:pPr>
    </w:p>
    <w:p w:rsidR="00C1168C" w:rsidP="00DD5AA1" w:rsidRDefault="00C1168C" w14:paraId="36190683" w14:textId="77777777">
      <w:pPr>
        <w:spacing w:after="160" w:line="360" w:lineRule="auto"/>
        <w:ind w:firstLine="302" w:firstLineChars="126"/>
        <w:jc w:val="both"/>
        <w:rPr>
          <w:rFonts w:cs="Calibri"/>
          <w:sz w:val="24"/>
          <w:szCs w:val="24"/>
          <w:lang w:val="es-CO"/>
        </w:rPr>
      </w:pPr>
    </w:p>
    <w:p w:rsidR="00C1168C" w:rsidP="00DD5AA1" w:rsidRDefault="00C1168C" w14:paraId="366AA52F" w14:textId="77777777">
      <w:pPr>
        <w:spacing w:after="160" w:line="360" w:lineRule="auto"/>
        <w:ind w:firstLine="302" w:firstLineChars="126"/>
        <w:jc w:val="both"/>
        <w:rPr>
          <w:rFonts w:cs="Calibri"/>
          <w:sz w:val="24"/>
          <w:szCs w:val="24"/>
          <w:lang w:val="es-CO"/>
        </w:rPr>
      </w:pPr>
    </w:p>
    <w:p w:rsidR="00C1168C" w:rsidP="00DD5AA1" w:rsidRDefault="00C1168C" w14:paraId="74C5CF93" w14:textId="77777777">
      <w:pPr>
        <w:spacing w:after="160" w:line="360" w:lineRule="auto"/>
        <w:ind w:firstLine="302" w:firstLineChars="126"/>
        <w:jc w:val="both"/>
        <w:rPr>
          <w:rFonts w:cs="Calibri"/>
          <w:sz w:val="24"/>
          <w:szCs w:val="24"/>
          <w:lang w:val="es-CO"/>
        </w:rPr>
      </w:pPr>
    </w:p>
    <w:p w:rsidR="00C1168C" w:rsidP="00DD5AA1" w:rsidRDefault="00C1168C" w14:paraId="534C6697" w14:textId="77777777">
      <w:pPr>
        <w:spacing w:after="160" w:line="360" w:lineRule="auto"/>
        <w:ind w:firstLine="302" w:firstLineChars="126"/>
        <w:jc w:val="both"/>
        <w:rPr>
          <w:rFonts w:cs="Calibri"/>
          <w:sz w:val="24"/>
          <w:szCs w:val="24"/>
          <w:lang w:val="es-CO"/>
        </w:rPr>
      </w:pPr>
    </w:p>
    <w:p w:rsidR="00C1168C" w:rsidP="00DD5AA1" w:rsidRDefault="00C1168C" w14:paraId="24EF3523" w14:textId="77777777">
      <w:pPr>
        <w:spacing w:after="160" w:line="360" w:lineRule="auto"/>
        <w:ind w:firstLine="302" w:firstLineChars="126"/>
        <w:jc w:val="both"/>
        <w:rPr>
          <w:rFonts w:cs="Calibri"/>
          <w:sz w:val="24"/>
          <w:szCs w:val="24"/>
          <w:lang w:val="es-CO"/>
        </w:rPr>
      </w:pPr>
    </w:p>
    <w:p w:rsidR="00C1168C" w:rsidP="00DD5AA1" w:rsidRDefault="00C1168C" w14:paraId="437EA20B" w14:textId="77777777">
      <w:pPr>
        <w:spacing w:after="160" w:line="360" w:lineRule="auto"/>
        <w:ind w:firstLine="277" w:firstLineChars="126"/>
        <w:jc w:val="both"/>
        <w:rPr>
          <w:rFonts w:cs="Calibri"/>
          <w:lang w:val="es-CO"/>
        </w:rPr>
      </w:pPr>
    </w:p>
    <w:p w:rsidR="00527B8C" w:rsidP="00590D90" w:rsidRDefault="00212A57" w14:paraId="1094F059" w14:textId="189D3291">
      <w:pPr>
        <w:pStyle w:val="Descripcin"/>
        <w:spacing w:after="160"/>
        <w:jc w:val="center"/>
        <w:rPr>
          <w:rFonts w:cs="Calibri"/>
          <w:sz w:val="24"/>
          <w:szCs w:val="24"/>
          <w:lang w:val="es-CO"/>
        </w:rPr>
      </w:pPr>
      <w:r>
        <w:rPr>
          <w:sz w:val="24"/>
          <w:szCs w:val="24"/>
          <w:lang w:val="es-CO"/>
        </w:rPr>
        <w:t xml:space="preserve">Imagen No. </w:t>
      </w:r>
      <w:r>
        <w:rPr>
          <w:sz w:val="24"/>
          <w:szCs w:val="24"/>
        </w:rPr>
        <w:fldChar w:fldCharType="begin"/>
      </w:r>
      <w:r>
        <w:rPr>
          <w:sz w:val="24"/>
          <w:szCs w:val="24"/>
        </w:rPr>
        <w:instrText xml:space="preserve"> SEQ Ilustración \* ARABIC </w:instrText>
      </w:r>
      <w:r>
        <w:rPr>
          <w:sz w:val="24"/>
          <w:szCs w:val="24"/>
        </w:rPr>
        <w:fldChar w:fldCharType="separate"/>
      </w:r>
      <w:r w:rsidR="00EE79CE">
        <w:rPr>
          <w:noProof/>
          <w:sz w:val="24"/>
          <w:szCs w:val="24"/>
        </w:rPr>
        <w:t>1</w:t>
      </w:r>
      <w:r>
        <w:rPr>
          <w:sz w:val="24"/>
          <w:szCs w:val="24"/>
        </w:rPr>
        <w:fldChar w:fldCharType="end"/>
      </w:r>
      <w:r>
        <w:rPr>
          <w:sz w:val="24"/>
          <w:szCs w:val="24"/>
        </w:rPr>
        <w:t xml:space="preserve"> Esquema de geomorfología en la Amazonía</w:t>
      </w:r>
    </w:p>
    <w:p w:rsidR="00527B8C" w:rsidRDefault="00212A57" w14:paraId="3CD53C95" w14:textId="77777777">
      <w:pPr>
        <w:spacing w:after="0" w:line="360" w:lineRule="auto"/>
        <w:jc w:val="both"/>
        <w:rPr>
          <w:i/>
          <w:iCs/>
        </w:rPr>
      </w:pPr>
      <w:r>
        <w:rPr>
          <w:i/>
          <w:iCs/>
          <w:noProof/>
        </w:rPr>
        <w:drawing>
          <wp:inline distT="0" distB="0" distL="0" distR="0" wp14:anchorId="307552E4" wp14:editId="1FF9CD3F">
            <wp:extent cx="5486400" cy="3657600"/>
            <wp:effectExtent l="38100" t="38100" r="38100" b="38100"/>
            <wp:docPr id="16968814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881422" name="drawing"/>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486400" cy="3657600"/>
                    </a:xfrm>
                    <a:prstGeom prst="rect">
                      <a:avLst/>
                    </a:prstGeom>
                    <a:ln w="38100">
                      <a:solidFill>
                        <a:srgbClr val="002060"/>
                      </a:solidFill>
                    </a:ln>
                  </pic:spPr>
                </pic:pic>
              </a:graphicData>
            </a:graphic>
          </wp:inline>
        </w:drawing>
      </w:r>
    </w:p>
    <w:p w:rsidRPr="00C1168C" w:rsidR="00527B8C" w:rsidRDefault="00212A57" w14:paraId="5B81E716" w14:textId="77777777">
      <w:pPr>
        <w:spacing w:after="0" w:line="360" w:lineRule="auto"/>
        <w:jc w:val="both"/>
        <w:rPr>
          <w:i/>
          <w:iCs/>
          <w:sz w:val="20"/>
          <w:szCs w:val="20"/>
          <w:lang w:val="es-CO"/>
        </w:rPr>
      </w:pPr>
      <w:r w:rsidRPr="00C1168C">
        <w:rPr>
          <w:i/>
          <w:iCs/>
          <w:sz w:val="20"/>
          <w:szCs w:val="20"/>
        </w:rPr>
        <w:t>Fuent</w:t>
      </w:r>
      <w:r w:rsidRPr="00C1168C">
        <w:rPr>
          <w:i/>
          <w:iCs/>
          <w:sz w:val="20"/>
          <w:szCs w:val="20"/>
          <w:lang w:val="es-CO"/>
        </w:rPr>
        <w:t>e:</w:t>
      </w:r>
      <w:r w:rsidRPr="00C1168C">
        <w:rPr>
          <w:i/>
          <w:iCs/>
          <w:sz w:val="20"/>
          <w:szCs w:val="20"/>
        </w:rPr>
        <w:t xml:space="preserve"> </w:t>
      </w:r>
      <w:r w:rsidRPr="00C1168C">
        <w:rPr>
          <w:i/>
          <w:iCs/>
          <w:sz w:val="20"/>
          <w:szCs w:val="20"/>
          <w:lang w:val="es-CO"/>
        </w:rPr>
        <w:t xml:space="preserve">Sala de Monitoreo,  </w:t>
      </w:r>
      <w:r w:rsidRPr="00C1168C">
        <w:rPr>
          <w:i/>
          <w:iCs/>
          <w:sz w:val="20"/>
          <w:szCs w:val="20"/>
        </w:rPr>
        <w:t>asistida por IA</w:t>
      </w:r>
      <w:r w:rsidRPr="00C1168C">
        <w:rPr>
          <w:i/>
          <w:iCs/>
          <w:sz w:val="20"/>
          <w:szCs w:val="20"/>
          <w:lang w:val="es-CO"/>
        </w:rPr>
        <w:t>.</w:t>
      </w:r>
    </w:p>
    <w:p w:rsidR="00527B8C" w:rsidRDefault="00527B8C" w14:paraId="218B115C" w14:textId="77777777">
      <w:pPr>
        <w:spacing w:after="0" w:line="360" w:lineRule="auto"/>
        <w:jc w:val="both"/>
        <w:rPr>
          <w:rFonts w:cs="Calibri"/>
          <w:color w:val="000000" w:themeColor="text1"/>
          <w:sz w:val="24"/>
          <w:szCs w:val="24"/>
          <w:lang w:val="es-CO"/>
        </w:rPr>
      </w:pPr>
    </w:p>
    <w:p w:rsidR="00527B8C" w:rsidRDefault="00212A57" w14:paraId="6F25AC25" w14:textId="77777777">
      <w:pPr>
        <w:spacing w:after="0" w:line="360" w:lineRule="auto"/>
        <w:ind w:firstLine="302" w:firstLineChars="126"/>
        <w:jc w:val="both"/>
        <w:rPr>
          <w:rFonts w:cs="Calibri"/>
          <w:color w:val="000000" w:themeColor="text1"/>
          <w:sz w:val="24"/>
          <w:szCs w:val="24"/>
          <w:lang w:val="es-CO"/>
        </w:rPr>
      </w:pPr>
      <w:r>
        <w:rPr>
          <w:rFonts w:cs="Calibri"/>
          <w:color w:val="000000" w:themeColor="text1"/>
          <w:sz w:val="24"/>
          <w:szCs w:val="24"/>
          <w:lang w:val="es-CO"/>
        </w:rPr>
        <w:t xml:space="preserve">La profunda conectividad ecológica e hidrológica de la Amazonia implica que cualquier alteración asociada a la extracción de materiales de arrastre puede generar impactos en cascada sobre la dinámica fluvial (Peduzzi, 2014). Además, la extracción ilícita o no autorizada, puede inducir la fragmentación de ecosistemas estratégicos, comprometiendo su integridad (Sonter et al., 2018). </w:t>
      </w:r>
    </w:p>
    <w:p w:rsidR="00527B8C" w:rsidRDefault="00527B8C" w14:paraId="1349EA5A" w14:textId="77777777">
      <w:pPr>
        <w:spacing w:after="0" w:line="360" w:lineRule="auto"/>
        <w:ind w:firstLine="302" w:firstLineChars="126"/>
        <w:jc w:val="both"/>
        <w:rPr>
          <w:rFonts w:cs="Calibri"/>
          <w:color w:val="000000" w:themeColor="text1"/>
          <w:sz w:val="24"/>
          <w:szCs w:val="24"/>
          <w:lang w:val="es-CO"/>
        </w:rPr>
      </w:pPr>
    </w:p>
    <w:p w:rsidR="00527B8C" w:rsidRDefault="00212A57" w14:paraId="15B0292F" w14:textId="77777777">
      <w:pPr>
        <w:spacing w:after="160" w:line="360" w:lineRule="auto"/>
        <w:ind w:firstLine="302" w:firstLineChars="126"/>
        <w:jc w:val="both"/>
        <w:rPr>
          <w:rFonts w:cs="Calibri"/>
          <w:sz w:val="24"/>
          <w:szCs w:val="24"/>
          <w:lang w:val="es-CO"/>
        </w:rPr>
      </w:pPr>
      <w:r>
        <w:rPr>
          <w:rFonts w:cs="Calibri"/>
          <w:sz w:val="24"/>
          <w:szCs w:val="24"/>
          <w:lang w:val="es-CO"/>
        </w:rPr>
        <w:t>Por otra parte, la Amazonia colombiana enfrenta presión por actividades extractivas, infraestructura y expansión de asentamientos, lo cual incrementa la demanda local de materiales de construcción, particularmente en municipios ribereños y áreas donde la conectividad terrestre es limitada. En este contexto, los materiales de arrastre se convierten en un recurso de fácil acceso debido a la abundancia de depósitos aluviales, pero su explotación se da con frecuencia de manera informal o sin estudios geomorfoló</w:t>
      </w:r>
      <w:r>
        <w:rPr>
          <w:rFonts w:cs="Calibri"/>
          <w:sz w:val="24"/>
          <w:szCs w:val="24"/>
          <w:lang w:val="es-CO"/>
        </w:rPr>
        <w:t>gicos y ambientales adecuados (ANM, 2023).</w:t>
      </w:r>
    </w:p>
    <w:p w:rsidR="00527B8C" w:rsidRDefault="00527B8C" w14:paraId="2228A32D" w14:textId="77777777">
      <w:pPr>
        <w:pStyle w:val="Ttulo4"/>
        <w:spacing w:line="360" w:lineRule="auto"/>
        <w:jc w:val="both"/>
        <w:rPr>
          <w:rFonts w:ascii="Calibri" w:hAnsi="Calibri" w:eastAsia="Calibri" w:cs="Calibri"/>
          <w:sz w:val="24"/>
          <w:szCs w:val="24"/>
          <w:lang w:val="es-CO"/>
        </w:rPr>
      </w:pPr>
    </w:p>
    <w:p w:rsidR="00527B8C" w:rsidRDefault="00212A57" w14:paraId="0C08CA8B" w14:textId="77777777">
      <w:pPr>
        <w:pStyle w:val="Ttulo4"/>
        <w:spacing w:line="360" w:lineRule="auto"/>
        <w:jc w:val="both"/>
        <w:rPr>
          <w:rFonts w:ascii="Calibri" w:hAnsi="Calibri" w:eastAsia="Calibri" w:cs="Calibri"/>
          <w:sz w:val="24"/>
          <w:szCs w:val="24"/>
          <w:lang w:val="es-CO"/>
        </w:rPr>
      </w:pPr>
      <w:bookmarkStart w:name="_Toc1239757191" w:id="310677615"/>
      <w:r w:rsidRPr="53DEF7DD" w:rsidR="670101B5">
        <w:rPr>
          <w:rFonts w:ascii="Calibri" w:hAnsi="Calibri" w:eastAsia="Calibri" w:cs="Calibri"/>
          <w:sz w:val="24"/>
          <w:szCs w:val="24"/>
          <w:lang w:val="es-CO"/>
        </w:rPr>
        <w:t>4.4.1.1 Departamento de Amazonas</w:t>
      </w:r>
      <w:bookmarkEnd w:id="310677615"/>
    </w:p>
    <w:p w:rsidR="00527B8C" w:rsidRDefault="00212A57" w14:paraId="484EFE21" w14:textId="77777777">
      <w:pPr>
        <w:spacing w:after="0" w:line="360" w:lineRule="auto"/>
        <w:ind w:firstLine="302" w:firstLineChars="126"/>
        <w:jc w:val="both"/>
        <w:rPr>
          <w:rFonts w:cs="Calibri"/>
          <w:sz w:val="24"/>
          <w:szCs w:val="24"/>
        </w:rPr>
      </w:pPr>
      <w:r>
        <w:rPr>
          <w:rFonts w:cs="Calibri"/>
          <w:sz w:val="24"/>
          <w:szCs w:val="24"/>
        </w:rPr>
        <w:t>Consultado el visor de la Agencia Nacional de Minería (ANM), en el departamento del Amazonas no se encuentra títulos mineros legales de material de arrastre (materiales de construcción). Es conocido que cerca a Leticia se realiza actividad minera (extracción de material de arrastre). Esta actividad que se caracteriza por ser principalmente manual, sin hacer uso de maquinaria pesada.</w:t>
      </w:r>
    </w:p>
    <w:p w:rsidR="00527B8C" w:rsidRDefault="00527B8C" w14:paraId="19780458" w14:textId="77777777">
      <w:pPr>
        <w:spacing w:after="0" w:line="360" w:lineRule="auto"/>
        <w:ind w:firstLine="302" w:firstLineChars="126"/>
        <w:jc w:val="both"/>
        <w:rPr>
          <w:rFonts w:cs="Calibri"/>
          <w:sz w:val="24"/>
          <w:szCs w:val="24"/>
        </w:rPr>
      </w:pPr>
    </w:p>
    <w:p w:rsidR="00527B8C" w:rsidRDefault="00212A57" w14:paraId="2C4B5AF8" w14:textId="77777777">
      <w:pPr>
        <w:spacing w:after="0" w:line="360" w:lineRule="auto"/>
        <w:ind w:firstLine="302" w:firstLineChars="126"/>
        <w:jc w:val="both"/>
        <w:rPr>
          <w:rFonts w:cs="Calibri"/>
          <w:sz w:val="24"/>
          <w:szCs w:val="24"/>
        </w:rPr>
      </w:pPr>
      <w:r>
        <w:rPr>
          <w:rFonts w:cs="Calibri"/>
          <w:sz w:val="24"/>
          <w:szCs w:val="24"/>
        </w:rPr>
        <w:t>De acuerdo con el visor de ANM, se observa actividad de extracción de material de arrastre en la margen brasileña del Río Amazonas, específicamente en las coordenadas planas X: 5338886,66 y Y: 1089163,45, tal como se ilustra en la fotografía No. 1. Como se mencionó anteriormente, esta extracción se realiza de manera manual (pico y pala) y es una actividad focalizada en los periodos de descenso del nivel del río, lo que permite el acceso a las acumulaciones de material de arrastre, depositado en las orillas.</w:t>
      </w:r>
    </w:p>
    <w:p w:rsidR="00527B8C" w:rsidRDefault="00212A57" w14:paraId="61ED9C01" w14:textId="77777777">
      <w:pPr>
        <w:spacing w:after="0" w:line="360" w:lineRule="auto"/>
        <w:ind w:firstLine="302" w:firstLineChars="126"/>
        <w:jc w:val="both"/>
        <w:rPr>
          <w:rFonts w:cs="Calibri"/>
          <w:sz w:val="24"/>
          <w:szCs w:val="24"/>
          <w:lang w:val="es"/>
        </w:rPr>
      </w:pPr>
      <w:r>
        <w:rPr>
          <w:rFonts w:cs="Calibri"/>
          <w:sz w:val="24"/>
          <w:szCs w:val="24"/>
          <w:lang w:val="es"/>
        </w:rPr>
        <w:t xml:space="preserve"> </w:t>
      </w:r>
    </w:p>
    <w:p w:rsidR="00527B8C" w:rsidRDefault="00212A57" w14:paraId="7386D03D" w14:textId="77777777">
      <w:pPr>
        <w:spacing w:after="0" w:line="360" w:lineRule="auto"/>
        <w:ind w:firstLine="302" w:firstLineChars="126"/>
        <w:jc w:val="both"/>
        <w:rPr>
          <w:rFonts w:cs="Calibri"/>
          <w:sz w:val="24"/>
          <w:szCs w:val="24"/>
          <w:lang w:val="es"/>
        </w:rPr>
      </w:pPr>
      <w:r>
        <w:rPr>
          <w:rFonts w:cs="Calibri"/>
          <w:sz w:val="24"/>
          <w:szCs w:val="24"/>
          <w:lang w:val="es"/>
        </w:rPr>
        <w:t>De acuerdo con la fotografía se determina que en el lado colombiano no realizan extracción de material de arrastre en el departamento del Amazonas</w:t>
      </w:r>
    </w:p>
    <w:p w:rsidR="00527B8C" w:rsidRDefault="00527B8C" w14:paraId="15EFBA5C" w14:textId="77777777">
      <w:pPr>
        <w:spacing w:after="0" w:line="360" w:lineRule="auto"/>
        <w:jc w:val="both"/>
        <w:rPr>
          <w:rFonts w:cs="Calibri"/>
          <w:sz w:val="24"/>
          <w:szCs w:val="24"/>
          <w:lang w:val="es"/>
        </w:rPr>
      </w:pPr>
    </w:p>
    <w:p w:rsidR="00527B8C" w:rsidRDefault="00527B8C" w14:paraId="28CD1B30" w14:textId="77777777">
      <w:pPr>
        <w:spacing w:after="0" w:line="360" w:lineRule="auto"/>
        <w:jc w:val="both"/>
        <w:rPr>
          <w:rFonts w:cs="Calibri"/>
          <w:sz w:val="24"/>
          <w:szCs w:val="24"/>
          <w:lang w:val="es"/>
        </w:rPr>
      </w:pPr>
    </w:p>
    <w:p w:rsidR="00527B8C" w:rsidRDefault="00527B8C" w14:paraId="5F98CA04" w14:textId="77777777">
      <w:pPr>
        <w:spacing w:after="0" w:line="360" w:lineRule="auto"/>
        <w:jc w:val="both"/>
        <w:rPr>
          <w:rFonts w:cs="Calibri"/>
          <w:sz w:val="24"/>
          <w:szCs w:val="24"/>
          <w:lang w:val="es"/>
        </w:rPr>
      </w:pPr>
    </w:p>
    <w:p w:rsidR="00527B8C" w:rsidRDefault="00527B8C" w14:paraId="038AE388" w14:textId="77777777">
      <w:pPr>
        <w:spacing w:after="0" w:line="360" w:lineRule="auto"/>
        <w:jc w:val="both"/>
        <w:rPr>
          <w:rFonts w:cs="Calibri"/>
          <w:sz w:val="24"/>
          <w:szCs w:val="24"/>
          <w:lang w:val="es"/>
        </w:rPr>
      </w:pPr>
    </w:p>
    <w:p w:rsidR="00C1168C" w:rsidRDefault="00C1168C" w14:paraId="331171F3" w14:textId="77777777">
      <w:pPr>
        <w:spacing w:after="0" w:line="360" w:lineRule="auto"/>
        <w:jc w:val="both"/>
        <w:rPr>
          <w:rFonts w:cs="Calibri"/>
          <w:sz w:val="24"/>
          <w:szCs w:val="24"/>
          <w:lang w:val="es"/>
        </w:rPr>
      </w:pPr>
    </w:p>
    <w:p w:rsidR="00C1168C" w:rsidRDefault="00C1168C" w14:paraId="14F414A6" w14:textId="77777777">
      <w:pPr>
        <w:spacing w:after="0" w:line="360" w:lineRule="auto"/>
        <w:jc w:val="both"/>
        <w:rPr>
          <w:rFonts w:cs="Calibri"/>
          <w:sz w:val="24"/>
          <w:szCs w:val="24"/>
          <w:lang w:val="es"/>
        </w:rPr>
      </w:pPr>
    </w:p>
    <w:p w:rsidR="00C1168C" w:rsidRDefault="00C1168C" w14:paraId="215ADF2E" w14:textId="77777777">
      <w:pPr>
        <w:spacing w:after="0" w:line="360" w:lineRule="auto"/>
        <w:jc w:val="both"/>
        <w:rPr>
          <w:rFonts w:cs="Calibri"/>
          <w:sz w:val="24"/>
          <w:szCs w:val="24"/>
          <w:lang w:val="es"/>
        </w:rPr>
      </w:pPr>
    </w:p>
    <w:p w:rsidR="00C1168C" w:rsidRDefault="00C1168C" w14:paraId="0378FE32" w14:textId="77777777">
      <w:pPr>
        <w:spacing w:after="0" w:line="360" w:lineRule="auto"/>
        <w:jc w:val="both"/>
        <w:rPr>
          <w:rFonts w:cs="Calibri"/>
          <w:sz w:val="24"/>
          <w:szCs w:val="24"/>
          <w:lang w:val="es"/>
        </w:rPr>
      </w:pPr>
    </w:p>
    <w:p w:rsidR="00C1168C" w:rsidRDefault="00C1168C" w14:paraId="02D602C5" w14:textId="77777777">
      <w:pPr>
        <w:spacing w:after="0" w:line="360" w:lineRule="auto"/>
        <w:jc w:val="both"/>
        <w:rPr>
          <w:rFonts w:cs="Calibri"/>
          <w:sz w:val="24"/>
          <w:szCs w:val="24"/>
          <w:lang w:val="es"/>
        </w:rPr>
      </w:pPr>
    </w:p>
    <w:p w:rsidR="00C1168C" w:rsidRDefault="00C1168C" w14:paraId="72772009" w14:textId="77777777">
      <w:pPr>
        <w:spacing w:after="0" w:line="360" w:lineRule="auto"/>
        <w:jc w:val="both"/>
        <w:rPr>
          <w:rFonts w:cs="Calibri"/>
          <w:sz w:val="24"/>
          <w:szCs w:val="24"/>
          <w:lang w:val="es"/>
        </w:rPr>
      </w:pPr>
    </w:p>
    <w:p w:rsidR="00C1168C" w:rsidRDefault="00C1168C" w14:paraId="3EB136F3" w14:textId="77777777">
      <w:pPr>
        <w:spacing w:after="0" w:line="360" w:lineRule="auto"/>
        <w:jc w:val="both"/>
        <w:rPr>
          <w:rFonts w:cs="Calibri"/>
          <w:sz w:val="24"/>
          <w:szCs w:val="24"/>
          <w:lang w:val="es"/>
        </w:rPr>
      </w:pPr>
    </w:p>
    <w:p w:rsidR="00C1168C" w:rsidRDefault="00C1168C" w14:paraId="22589E5C" w14:textId="77777777">
      <w:pPr>
        <w:spacing w:after="0" w:line="360" w:lineRule="auto"/>
        <w:jc w:val="both"/>
        <w:rPr>
          <w:rFonts w:cs="Calibri"/>
          <w:sz w:val="24"/>
          <w:szCs w:val="24"/>
          <w:lang w:val="es"/>
        </w:rPr>
      </w:pPr>
    </w:p>
    <w:p w:rsidRPr="00C1168C" w:rsidR="00C1168C" w:rsidP="00C1168C" w:rsidRDefault="00C1168C" w14:paraId="2BFD132B" w14:textId="7D41FBCE">
      <w:pPr>
        <w:pStyle w:val="Descripcin"/>
        <w:jc w:val="center"/>
        <w:rPr>
          <w:sz w:val="20"/>
          <w:szCs w:val="20"/>
        </w:rPr>
      </w:pPr>
      <w:bookmarkStart w:name="_Toc216514430" w:id="42"/>
      <w:r w:rsidRPr="00C1168C">
        <w:rPr>
          <w:sz w:val="20"/>
          <w:szCs w:val="20"/>
        </w:rPr>
        <w:t xml:space="preserve">Foto </w:t>
      </w:r>
      <w:r w:rsidRPr="00C1168C">
        <w:rPr>
          <w:sz w:val="20"/>
          <w:szCs w:val="20"/>
        </w:rPr>
        <w:fldChar w:fldCharType="begin"/>
      </w:r>
      <w:r w:rsidRPr="00C1168C">
        <w:rPr>
          <w:sz w:val="20"/>
          <w:szCs w:val="20"/>
        </w:rPr>
        <w:instrText xml:space="preserve"> SEQ Foto \* ARABIC </w:instrText>
      </w:r>
      <w:r w:rsidRPr="00C1168C">
        <w:rPr>
          <w:sz w:val="20"/>
          <w:szCs w:val="20"/>
        </w:rPr>
        <w:fldChar w:fldCharType="separate"/>
      </w:r>
      <w:r w:rsidR="00EE79CE">
        <w:rPr>
          <w:noProof/>
          <w:sz w:val="20"/>
          <w:szCs w:val="20"/>
        </w:rPr>
        <w:t>1</w:t>
      </w:r>
      <w:r w:rsidRPr="00C1168C">
        <w:rPr>
          <w:sz w:val="20"/>
          <w:szCs w:val="20"/>
        </w:rPr>
        <w:fldChar w:fldCharType="end"/>
      </w:r>
      <w:r w:rsidRPr="00C1168C">
        <w:rPr>
          <w:sz w:val="20"/>
          <w:szCs w:val="20"/>
        </w:rPr>
        <w:t xml:space="preserve"> Extracción de material de arrastre en el lado del Brasil</w:t>
      </w:r>
      <w:bookmarkEnd w:id="42"/>
    </w:p>
    <w:p w:rsidR="00527B8C" w:rsidP="00590D90" w:rsidRDefault="00212A57" w14:paraId="7D7D6659" w14:textId="77777777">
      <w:pPr>
        <w:spacing w:after="0" w:line="360" w:lineRule="auto"/>
        <w:jc w:val="center"/>
        <w:rPr>
          <w:rFonts w:cs="Calibri"/>
          <w:sz w:val="24"/>
          <w:szCs w:val="24"/>
        </w:rPr>
      </w:pPr>
      <w:r>
        <w:rPr>
          <w:noProof/>
        </w:rPr>
        <w:drawing>
          <wp:inline distT="0" distB="0" distL="0" distR="0" wp14:anchorId="4D43AA40" wp14:editId="37E73437">
            <wp:extent cx="3559810" cy="2359025"/>
            <wp:effectExtent l="38100" t="38100" r="38100" b="38100"/>
            <wp:docPr id="25379746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797468" name="drawing"/>
                    <pic:cNvPicPr>
                      <a:picLocks noChangeAspect="1"/>
                    </pic:cNvPicPr>
                  </pic:nvPicPr>
                  <pic:blipFill>
                    <a:blip r:embed="rId15"/>
                    <a:stretch>
                      <a:fillRect/>
                    </a:stretch>
                  </pic:blipFill>
                  <pic:spPr>
                    <a:xfrm>
                      <a:off x="0" y="0"/>
                      <a:ext cx="3560373" cy="2359356"/>
                    </a:xfrm>
                    <a:prstGeom prst="rect">
                      <a:avLst/>
                    </a:prstGeom>
                    <a:ln w="38100">
                      <a:solidFill>
                        <a:srgbClr val="002060"/>
                      </a:solidFill>
                      <a:prstDash val="solid"/>
                    </a:ln>
                  </pic:spPr>
                </pic:pic>
              </a:graphicData>
            </a:graphic>
          </wp:inline>
        </w:drawing>
      </w:r>
    </w:p>
    <w:p w:rsidRPr="00C1168C" w:rsidR="00527B8C" w:rsidP="00590D90" w:rsidRDefault="00212A57" w14:paraId="4ECC5732" w14:textId="77777777">
      <w:pPr>
        <w:spacing w:after="0" w:line="360" w:lineRule="auto"/>
        <w:jc w:val="center"/>
        <w:rPr>
          <w:rFonts w:cs="Calibri"/>
          <w:i/>
          <w:iCs/>
          <w:sz w:val="20"/>
          <w:szCs w:val="20"/>
          <w:lang w:val="es"/>
        </w:rPr>
      </w:pPr>
      <w:r w:rsidRPr="00C1168C">
        <w:rPr>
          <w:rFonts w:cs="Calibri"/>
          <w:i/>
          <w:iCs/>
          <w:sz w:val="20"/>
          <w:szCs w:val="20"/>
          <w:lang w:val="es"/>
        </w:rPr>
        <w:t>Fuente</w:t>
      </w:r>
      <w:r w:rsidRPr="00C1168C">
        <w:rPr>
          <w:rFonts w:cs="Calibri"/>
          <w:i/>
          <w:iCs/>
          <w:sz w:val="20"/>
          <w:szCs w:val="20"/>
          <w:lang w:val="es-CO"/>
        </w:rPr>
        <w:t>:</w:t>
      </w:r>
      <w:r w:rsidRPr="00C1168C">
        <w:rPr>
          <w:rFonts w:cs="Calibri"/>
          <w:i/>
          <w:iCs/>
          <w:sz w:val="20"/>
          <w:szCs w:val="20"/>
          <w:lang w:val="es"/>
        </w:rPr>
        <w:t xml:space="preserve"> visor </w:t>
      </w:r>
      <w:r w:rsidRPr="00C1168C">
        <w:rPr>
          <w:rFonts w:cs="Calibri"/>
          <w:i/>
          <w:iCs/>
          <w:sz w:val="20"/>
          <w:szCs w:val="20"/>
          <w:lang w:val="es-CO"/>
        </w:rPr>
        <w:t>Agencia Nacional de Minería  -</w:t>
      </w:r>
      <w:r w:rsidRPr="00C1168C">
        <w:rPr>
          <w:rFonts w:cs="Calibri"/>
          <w:i/>
          <w:iCs/>
          <w:sz w:val="20"/>
          <w:szCs w:val="20"/>
          <w:lang w:val="es"/>
        </w:rPr>
        <w:t>ANM, 2025</w:t>
      </w:r>
    </w:p>
    <w:p w:rsidR="00527B8C" w:rsidRDefault="00527B8C" w14:paraId="103A048A" w14:textId="77777777">
      <w:pPr>
        <w:spacing w:after="0" w:line="360" w:lineRule="auto"/>
        <w:jc w:val="both"/>
        <w:rPr>
          <w:rFonts w:cs="Calibri"/>
          <w:sz w:val="24"/>
          <w:szCs w:val="24"/>
        </w:rPr>
      </w:pPr>
    </w:p>
    <w:p w:rsidR="00527B8C" w:rsidRDefault="00212A57" w14:paraId="1CCCE0C6" w14:textId="77777777">
      <w:pPr>
        <w:spacing w:after="0" w:line="360" w:lineRule="auto"/>
        <w:ind w:firstLine="302" w:firstLineChars="126"/>
        <w:jc w:val="both"/>
        <w:rPr>
          <w:rFonts w:cs="Calibri"/>
          <w:i/>
          <w:iCs/>
          <w:sz w:val="24"/>
          <w:szCs w:val="24"/>
        </w:rPr>
      </w:pPr>
      <w:r>
        <w:rPr>
          <w:rFonts w:cs="Calibri"/>
          <w:sz w:val="24"/>
          <w:szCs w:val="24"/>
        </w:rPr>
        <w:t xml:space="preserve">Con referencia del visor de ANM, se identifica que en el departamento del Amazonas no existe títulos mineros legales ni hay solicitudes de títulos. Ver </w:t>
      </w:r>
      <w:r>
        <w:rPr>
          <w:rFonts w:cs="Calibri"/>
          <w:sz w:val="24"/>
          <w:szCs w:val="24"/>
          <w:lang w:val="es-CO"/>
        </w:rPr>
        <w:t>mapa</w:t>
      </w:r>
      <w:r>
        <w:rPr>
          <w:rFonts w:cs="Calibri"/>
          <w:sz w:val="24"/>
          <w:szCs w:val="24"/>
        </w:rPr>
        <w:t xml:space="preserve"> No. 1. </w:t>
      </w:r>
    </w:p>
    <w:p w:rsidR="00527B8C" w:rsidRDefault="00527B8C" w14:paraId="7AD7E012" w14:textId="77777777">
      <w:pPr>
        <w:pStyle w:val="Descripcin"/>
        <w:spacing w:after="0" w:line="360" w:lineRule="auto"/>
        <w:jc w:val="both"/>
        <w:rPr>
          <w:sz w:val="24"/>
          <w:szCs w:val="24"/>
        </w:rPr>
      </w:pPr>
    </w:p>
    <w:p w:rsidR="00527B8C" w:rsidRDefault="00212A57" w14:paraId="46BC1211" w14:textId="2F7745B8">
      <w:pPr>
        <w:pStyle w:val="Descripcin"/>
        <w:spacing w:after="0" w:line="360" w:lineRule="auto"/>
        <w:jc w:val="both"/>
        <w:rPr>
          <w:rFonts w:cs="Calibri"/>
          <w:i/>
          <w:iCs/>
          <w:sz w:val="24"/>
          <w:szCs w:val="24"/>
        </w:rPr>
      </w:pPr>
      <w:bookmarkStart w:name="_Toc216558729" w:id="43"/>
      <w:r>
        <w:rPr>
          <w:sz w:val="24"/>
          <w:szCs w:val="24"/>
        </w:rPr>
        <w:t>Mapa</w:t>
      </w:r>
      <w:r>
        <w:rPr>
          <w:sz w:val="24"/>
          <w:szCs w:val="24"/>
          <w:lang w:val="es-CO"/>
        </w:rPr>
        <w:t xml:space="preserve"> No.</w:t>
      </w:r>
      <w:r>
        <w:rPr>
          <w:sz w:val="24"/>
          <w:szCs w:val="24"/>
        </w:rPr>
        <w:t xml:space="preserve"> </w:t>
      </w:r>
      <w:r>
        <w:rPr>
          <w:sz w:val="24"/>
          <w:szCs w:val="24"/>
        </w:rPr>
        <w:fldChar w:fldCharType="begin"/>
      </w:r>
      <w:r>
        <w:rPr>
          <w:sz w:val="24"/>
          <w:szCs w:val="24"/>
        </w:rPr>
        <w:instrText xml:space="preserve"> SEQ Mapa \* ARABIC </w:instrText>
      </w:r>
      <w:r>
        <w:rPr>
          <w:sz w:val="24"/>
          <w:szCs w:val="24"/>
        </w:rPr>
        <w:fldChar w:fldCharType="separate"/>
      </w:r>
      <w:r w:rsidR="00EE79CE">
        <w:rPr>
          <w:noProof/>
          <w:sz w:val="24"/>
          <w:szCs w:val="24"/>
        </w:rPr>
        <w:t>1</w:t>
      </w:r>
      <w:r>
        <w:rPr>
          <w:sz w:val="24"/>
          <w:szCs w:val="24"/>
        </w:rPr>
        <w:fldChar w:fldCharType="end"/>
      </w:r>
      <w:r>
        <w:rPr>
          <w:sz w:val="24"/>
          <w:szCs w:val="24"/>
        </w:rPr>
        <w:t xml:space="preserve"> Donde se determina que no hay títulos mineros en el departamento del Amazonas</w:t>
      </w:r>
      <w:bookmarkEnd w:id="43"/>
    </w:p>
    <w:p w:rsidR="00527B8C" w:rsidP="00590D90" w:rsidRDefault="00212A57" w14:paraId="380DF603" w14:textId="77777777">
      <w:pPr>
        <w:spacing w:after="0" w:line="360" w:lineRule="auto"/>
        <w:jc w:val="center"/>
      </w:pPr>
      <w:r>
        <w:rPr>
          <w:noProof/>
        </w:rPr>
        <w:drawing>
          <wp:inline distT="0" distB="0" distL="0" distR="0" wp14:anchorId="3BCAE917" wp14:editId="0C349AD5">
            <wp:extent cx="4314825" cy="2884040"/>
            <wp:effectExtent l="38100" t="38100" r="28575" b="31115"/>
            <wp:docPr id="104144214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442144" name="drawing"/>
                    <pic:cNvPicPr>
                      <a:picLocks noChangeAspect="1"/>
                    </pic:cNvPicPr>
                  </pic:nvPicPr>
                  <pic:blipFill>
                    <a:blip r:embed="rId16"/>
                    <a:stretch>
                      <a:fillRect/>
                    </a:stretch>
                  </pic:blipFill>
                  <pic:spPr>
                    <a:xfrm>
                      <a:off x="0" y="0"/>
                      <a:ext cx="4327879" cy="2892766"/>
                    </a:xfrm>
                    <a:prstGeom prst="rect">
                      <a:avLst/>
                    </a:prstGeom>
                    <a:ln w="38100">
                      <a:solidFill>
                        <a:srgbClr val="002060"/>
                      </a:solidFill>
                    </a:ln>
                  </pic:spPr>
                </pic:pic>
              </a:graphicData>
            </a:graphic>
          </wp:inline>
        </w:drawing>
      </w:r>
    </w:p>
    <w:p w:rsidRPr="00C1168C" w:rsidR="00527B8C" w:rsidP="00590D90" w:rsidRDefault="00212A57" w14:paraId="0AA390C8" w14:textId="77777777">
      <w:pPr>
        <w:spacing w:after="0" w:line="360" w:lineRule="auto"/>
        <w:jc w:val="center"/>
        <w:rPr>
          <w:rFonts w:cs="Calibri"/>
          <w:i/>
          <w:iCs/>
          <w:sz w:val="20"/>
          <w:szCs w:val="20"/>
          <w:lang w:val="es"/>
        </w:rPr>
      </w:pPr>
      <w:r w:rsidRPr="00C1168C">
        <w:rPr>
          <w:rFonts w:cs="Calibri"/>
          <w:i/>
          <w:iCs/>
          <w:sz w:val="20"/>
          <w:szCs w:val="20"/>
          <w:lang w:val="es"/>
        </w:rPr>
        <w:t>Fuente</w:t>
      </w:r>
      <w:r w:rsidRPr="00C1168C">
        <w:rPr>
          <w:rFonts w:cs="Calibri"/>
          <w:i/>
          <w:iCs/>
          <w:sz w:val="20"/>
          <w:szCs w:val="20"/>
          <w:lang w:val="es-CO"/>
        </w:rPr>
        <w:t xml:space="preserve">: </w:t>
      </w:r>
      <w:r w:rsidRPr="00C1168C">
        <w:rPr>
          <w:rFonts w:cs="Calibri"/>
          <w:i/>
          <w:iCs/>
          <w:sz w:val="20"/>
          <w:szCs w:val="20"/>
          <w:lang w:val="es"/>
        </w:rPr>
        <w:t>A</w:t>
      </w:r>
      <w:r w:rsidRPr="00C1168C">
        <w:rPr>
          <w:rFonts w:cs="Calibri"/>
          <w:i/>
          <w:iCs/>
          <w:sz w:val="20"/>
          <w:szCs w:val="20"/>
          <w:lang w:val="es-CO"/>
        </w:rPr>
        <w:t>gencia Nacional de Minería ANM</w:t>
      </w:r>
      <w:r w:rsidRPr="00C1168C">
        <w:rPr>
          <w:rFonts w:cs="Calibri"/>
          <w:i/>
          <w:iCs/>
          <w:sz w:val="20"/>
          <w:szCs w:val="20"/>
          <w:lang w:val="es"/>
        </w:rPr>
        <w:t>, 2025.</w:t>
      </w:r>
    </w:p>
    <w:p w:rsidR="00527B8C" w:rsidRDefault="00212A57" w14:paraId="5D1B1BE6" w14:textId="77777777">
      <w:pPr>
        <w:spacing w:after="0" w:line="360" w:lineRule="auto"/>
        <w:ind w:firstLine="302" w:firstLineChars="126"/>
        <w:jc w:val="both"/>
        <w:rPr>
          <w:sz w:val="24"/>
          <w:szCs w:val="24"/>
        </w:rPr>
      </w:pPr>
      <w:r>
        <w:rPr>
          <w:sz w:val="24"/>
          <w:szCs w:val="24"/>
        </w:rPr>
        <w:t xml:space="preserve">En la consulta realizada el 11 de diciembre de 2025 en la plataforma Génesis de la ANM (Agencia Nacional de Minería), </w:t>
      </w:r>
      <w:r>
        <w:rPr>
          <w:rFonts w:cs="Calibri"/>
          <w:sz w:val="24"/>
          <w:szCs w:val="24"/>
        </w:rPr>
        <w:t>no se encuentra que Leticia tenga registrado mineros de subsistencia.</w:t>
      </w:r>
    </w:p>
    <w:p w:rsidR="00527B8C" w:rsidRDefault="00527B8C" w14:paraId="740A2B7B" w14:textId="77777777">
      <w:pPr>
        <w:spacing w:after="0" w:line="360" w:lineRule="auto"/>
        <w:jc w:val="both"/>
        <w:rPr>
          <w:rFonts w:cs="Calibri"/>
          <w:sz w:val="24"/>
          <w:szCs w:val="24"/>
        </w:rPr>
      </w:pPr>
    </w:p>
    <w:p w:rsidR="00527B8C" w:rsidRDefault="00212A57" w14:paraId="45330139" w14:textId="77777777">
      <w:pPr>
        <w:pStyle w:val="Ttulo4"/>
        <w:spacing w:line="360" w:lineRule="auto"/>
        <w:jc w:val="both"/>
        <w:rPr>
          <w:rFonts w:ascii="Calibri" w:hAnsi="Calibri" w:eastAsia="Calibri" w:cs="Calibri"/>
          <w:sz w:val="24"/>
          <w:szCs w:val="24"/>
          <w:lang w:val="es-CO"/>
        </w:rPr>
      </w:pPr>
      <w:bookmarkStart w:name="_Toc2051802690" w:id="748567945"/>
      <w:r w:rsidRPr="53DEF7DD" w:rsidR="670101B5">
        <w:rPr>
          <w:rFonts w:ascii="Calibri" w:hAnsi="Calibri" w:eastAsia="Calibri" w:cs="Calibri"/>
          <w:sz w:val="24"/>
          <w:szCs w:val="24"/>
          <w:lang w:val="es-CO"/>
        </w:rPr>
        <w:t>4.4.1.2 Departamento de Caquetá</w:t>
      </w:r>
      <w:bookmarkEnd w:id="748567945"/>
    </w:p>
    <w:p w:rsidR="00527B8C" w:rsidRDefault="00212A57" w14:paraId="50C2C524" w14:textId="77777777">
      <w:pPr>
        <w:spacing w:after="0" w:line="360" w:lineRule="auto"/>
        <w:ind w:firstLine="302" w:firstLineChars="126"/>
        <w:jc w:val="both"/>
        <w:rPr>
          <w:rFonts w:cs="Calibri"/>
          <w:sz w:val="24"/>
          <w:szCs w:val="24"/>
          <w:lang w:val="es-CO"/>
        </w:rPr>
      </w:pPr>
      <w:r>
        <w:rPr>
          <w:rFonts w:cs="Calibri"/>
          <w:sz w:val="24"/>
          <w:szCs w:val="24"/>
          <w:lang w:val="es-CO"/>
        </w:rPr>
        <w:t>La explotación de material de arrastre en el departamento del Caquetá tiene importancia en los centros urbanos como Florencia, San José de Fragua, Valparaíso, La Montanita, Puerto Rico, San Vicente del Caguán, Cartagena del Chaira, Doncello y Pajuil. Esta actividad se desarrolla en los ríos  Orteguaza, Caguan y Guayas.</w:t>
      </w:r>
    </w:p>
    <w:p w:rsidR="00527B8C" w:rsidRDefault="00527B8C" w14:paraId="5B11E352" w14:textId="77777777">
      <w:pPr>
        <w:spacing w:after="0" w:line="360" w:lineRule="auto"/>
        <w:ind w:firstLine="302" w:firstLineChars="126"/>
        <w:jc w:val="both"/>
        <w:rPr>
          <w:rFonts w:cs="Calibri"/>
          <w:sz w:val="24"/>
          <w:szCs w:val="24"/>
          <w:lang w:val="es-CO"/>
        </w:rPr>
      </w:pPr>
    </w:p>
    <w:p w:rsidR="00527B8C" w:rsidRDefault="00212A57" w14:paraId="584ABA8C" w14:textId="77777777">
      <w:pPr>
        <w:spacing w:after="0" w:line="360" w:lineRule="auto"/>
        <w:ind w:firstLine="302" w:firstLineChars="126"/>
        <w:jc w:val="both"/>
        <w:rPr>
          <w:rFonts w:cs="Calibri"/>
          <w:sz w:val="24"/>
          <w:szCs w:val="24"/>
          <w:lang w:val="es-CO"/>
        </w:rPr>
      </w:pPr>
      <w:r>
        <w:rPr>
          <w:rFonts w:cs="Calibri"/>
          <w:sz w:val="24"/>
          <w:szCs w:val="24"/>
          <w:lang w:val="es"/>
        </w:rPr>
        <w:t xml:space="preserve">Las características de estos yacimientos requieren para su explotación un planteamiento técnico minero apropiado, con las mínimas consecuencias negativas posibles al medio ambiente y, simultáneamente, el máximo aprovechamiento del material extraído, en las vegas de los ríos antes mencionados. </w:t>
      </w:r>
      <w:r>
        <w:rPr>
          <w:rFonts w:cs="Calibri"/>
          <w:sz w:val="24"/>
          <w:szCs w:val="24"/>
          <w:lang w:val="es-CO"/>
        </w:rPr>
        <w:t>Estudios regionales dividen esta unidad en dos partes, la base o parte inferior está compuesta por arcillolitas con algunas intercalaciones de areniscas y areniscas conglomeráticas, como estructuras internas se puede identificar estratificación cruzada, estratificación paralela y gradación normal e inversabancos de conglomerados y areniscas silíceas, mientras que en la parte superior predominan areniscas tipo arcosas con intercalcaciones de arcillolitas.</w:t>
      </w:r>
    </w:p>
    <w:p w:rsidR="00527B8C" w:rsidRDefault="00527B8C" w14:paraId="45E36D11" w14:textId="77777777">
      <w:pPr>
        <w:spacing w:after="0" w:line="360" w:lineRule="auto"/>
        <w:ind w:firstLine="302" w:firstLineChars="126"/>
        <w:jc w:val="both"/>
        <w:rPr>
          <w:rFonts w:cs="Calibri"/>
          <w:sz w:val="24"/>
          <w:szCs w:val="24"/>
          <w:lang w:val="es-CO"/>
        </w:rPr>
      </w:pPr>
    </w:p>
    <w:p w:rsidR="00527B8C" w:rsidRDefault="00212A57" w14:paraId="40DC07B5" w14:textId="77777777">
      <w:pPr>
        <w:spacing w:after="0" w:line="360" w:lineRule="auto"/>
        <w:ind w:firstLine="302" w:firstLineChars="126"/>
        <w:jc w:val="both"/>
        <w:rPr>
          <w:rFonts w:cs="Calibri"/>
          <w:sz w:val="24"/>
          <w:szCs w:val="24"/>
          <w:lang w:val="es-CO"/>
        </w:rPr>
      </w:pPr>
      <w:r>
        <w:rPr>
          <w:rFonts w:cs="Calibri"/>
          <w:sz w:val="24"/>
          <w:szCs w:val="24"/>
          <w:lang w:val="es-CO"/>
        </w:rPr>
        <w:t>La parte superior está compuesta por conglomerados, areniscas conglomeráticas y lodolitas en estratos medios a gruesos. Las capas de areniscas conglomerática son de espesor medio, en general se puede afirmar que son por composición cuarzo arenitas.</w:t>
      </w:r>
    </w:p>
    <w:p w:rsidR="00527B8C" w:rsidRDefault="00527B8C" w14:paraId="54207F1F" w14:textId="77777777">
      <w:pPr>
        <w:spacing w:after="0" w:line="360" w:lineRule="auto"/>
        <w:ind w:firstLine="302" w:firstLineChars="126"/>
        <w:jc w:val="both"/>
        <w:rPr>
          <w:rFonts w:cs="Calibri"/>
          <w:sz w:val="24"/>
          <w:szCs w:val="24"/>
          <w:lang w:val="es-CO"/>
        </w:rPr>
      </w:pPr>
    </w:p>
    <w:p w:rsidR="00527B8C" w:rsidRDefault="00212A57" w14:paraId="7DB9B654" w14:textId="77777777">
      <w:pPr>
        <w:spacing w:after="0" w:line="360" w:lineRule="auto"/>
        <w:ind w:firstLine="302" w:firstLineChars="126"/>
        <w:jc w:val="both"/>
        <w:rPr>
          <w:rFonts w:cs="Calibri"/>
          <w:sz w:val="24"/>
          <w:szCs w:val="24"/>
          <w:lang w:val="es-CO"/>
        </w:rPr>
      </w:pPr>
      <w:r>
        <w:rPr>
          <w:rFonts w:cs="Calibri"/>
          <w:sz w:val="24"/>
          <w:szCs w:val="24"/>
          <w:lang w:val="es-CO"/>
        </w:rPr>
        <w:t>Las areniscas conglomeráticas son en general matriz soportadas, aunque en algunos sectores se puede identificar clasto soportadas, la matriz es arena media a gruesas y los clastos son de forma ovoide,  subredondeados a redondeados, el diámetro medio oscila entre los 2 a 5 centímetros, aunque muy pocos pueden superar esta media, son clastos de rocas tipo basalto, dacitas, en la literatura geológica se dice que se encuentran clastos de chert.</w:t>
      </w:r>
    </w:p>
    <w:p w:rsidR="00527B8C" w:rsidRDefault="00527B8C" w14:paraId="5894AE33" w14:textId="77777777">
      <w:pPr>
        <w:spacing w:after="0" w:line="360" w:lineRule="auto"/>
        <w:ind w:firstLine="302" w:firstLineChars="126"/>
        <w:jc w:val="both"/>
        <w:rPr>
          <w:rFonts w:cs="Calibri"/>
          <w:sz w:val="24"/>
          <w:szCs w:val="24"/>
          <w:lang w:val="es-CO"/>
        </w:rPr>
      </w:pPr>
    </w:p>
    <w:p w:rsidR="00527B8C" w:rsidRDefault="00212A57" w14:paraId="5AEBB3C4" w14:textId="77777777">
      <w:pPr>
        <w:spacing w:after="0" w:line="360" w:lineRule="auto"/>
        <w:ind w:firstLine="302" w:firstLineChars="126"/>
        <w:jc w:val="both"/>
        <w:rPr>
          <w:rFonts w:cs="Calibri"/>
          <w:sz w:val="24"/>
          <w:szCs w:val="24"/>
          <w:lang w:val="es-CO"/>
        </w:rPr>
      </w:pPr>
      <w:r>
        <w:rPr>
          <w:rFonts w:cs="Calibri"/>
          <w:sz w:val="24"/>
          <w:szCs w:val="24"/>
          <w:lang w:val="es-CO"/>
        </w:rPr>
        <w:t>La unidad litológica descrita se encuentra recubierta por depósitos aluviales tipo terrazas, que son consecuencias de los procesos erosivos que a lo largo del tiempo han dado lugar a la conformación general de las vegas de los ríos.</w:t>
      </w:r>
    </w:p>
    <w:p w:rsidR="00527B8C" w:rsidRDefault="00527B8C" w14:paraId="1F5C4CDB" w14:textId="77777777">
      <w:pPr>
        <w:spacing w:after="0" w:line="360" w:lineRule="auto"/>
        <w:ind w:firstLine="302" w:firstLineChars="126"/>
        <w:jc w:val="both"/>
        <w:rPr>
          <w:rFonts w:cs="Calibri"/>
          <w:sz w:val="24"/>
          <w:szCs w:val="24"/>
          <w:lang w:val="es-CO"/>
        </w:rPr>
      </w:pPr>
    </w:p>
    <w:p w:rsidR="00527B8C" w:rsidRDefault="00212A57" w14:paraId="32FD418E" w14:textId="77777777">
      <w:pPr>
        <w:spacing w:after="0" w:line="360" w:lineRule="auto"/>
        <w:ind w:firstLine="302" w:firstLineChars="126"/>
        <w:jc w:val="both"/>
        <w:rPr>
          <w:rFonts w:cs="Calibri"/>
          <w:sz w:val="24"/>
          <w:szCs w:val="24"/>
          <w:lang w:val="es-CO"/>
        </w:rPr>
      </w:pPr>
      <w:r>
        <w:rPr>
          <w:rFonts w:cs="Calibri"/>
          <w:sz w:val="24"/>
          <w:szCs w:val="24"/>
          <w:lang w:val="es"/>
        </w:rPr>
        <w:t>Según la Agencia Nacional de Minería en el departamento del Caquetá, existen 28 títulos mineros de materiales de construcción, no hay títulos otorgados a explotaciones de oro.</w:t>
      </w:r>
    </w:p>
    <w:p w:rsidR="00527B8C" w:rsidRDefault="00527B8C" w14:paraId="707193BB" w14:textId="77777777">
      <w:pPr>
        <w:spacing w:after="0" w:line="360" w:lineRule="auto"/>
        <w:jc w:val="both"/>
        <w:rPr>
          <w:rFonts w:cs="Calibri"/>
          <w:sz w:val="24"/>
          <w:szCs w:val="24"/>
          <w:lang w:val="es"/>
        </w:rPr>
      </w:pPr>
    </w:p>
    <w:p w:rsidR="00527B8C" w:rsidP="00590D90" w:rsidRDefault="00212A57" w14:paraId="503D5528" w14:textId="6DDD30D4">
      <w:pPr>
        <w:pStyle w:val="Descripcin"/>
        <w:spacing w:after="0" w:line="360" w:lineRule="auto"/>
        <w:jc w:val="center"/>
        <w:rPr>
          <w:sz w:val="24"/>
          <w:szCs w:val="24"/>
        </w:rPr>
      </w:pPr>
      <w:bookmarkStart w:name="_Toc216558730" w:id="45"/>
      <w:r>
        <w:rPr>
          <w:sz w:val="24"/>
          <w:szCs w:val="24"/>
        </w:rPr>
        <w:t xml:space="preserve">Mapa </w:t>
      </w:r>
      <w:r>
        <w:rPr>
          <w:sz w:val="24"/>
          <w:szCs w:val="24"/>
          <w:lang w:val="es-CO"/>
        </w:rPr>
        <w:t xml:space="preserve">No. </w:t>
      </w:r>
      <w:r>
        <w:rPr>
          <w:sz w:val="24"/>
          <w:szCs w:val="24"/>
        </w:rPr>
        <w:fldChar w:fldCharType="begin"/>
      </w:r>
      <w:r>
        <w:rPr>
          <w:sz w:val="24"/>
          <w:szCs w:val="24"/>
        </w:rPr>
        <w:instrText xml:space="preserve"> SEQ Mapa \* ARABIC </w:instrText>
      </w:r>
      <w:r>
        <w:rPr>
          <w:sz w:val="24"/>
          <w:szCs w:val="24"/>
        </w:rPr>
        <w:fldChar w:fldCharType="separate"/>
      </w:r>
      <w:r w:rsidR="00EE79CE">
        <w:rPr>
          <w:noProof/>
          <w:sz w:val="24"/>
          <w:szCs w:val="24"/>
        </w:rPr>
        <w:t>2</w:t>
      </w:r>
      <w:r>
        <w:rPr>
          <w:sz w:val="24"/>
          <w:szCs w:val="24"/>
        </w:rPr>
        <w:fldChar w:fldCharType="end"/>
      </w:r>
      <w:r>
        <w:rPr>
          <w:sz w:val="24"/>
          <w:szCs w:val="24"/>
        </w:rPr>
        <w:t xml:space="preserve"> Extracción de material de arrastre en Florencia Caquetá</w:t>
      </w:r>
      <w:bookmarkEnd w:id="45"/>
    </w:p>
    <w:p w:rsidR="00527B8C" w:rsidP="00590D90" w:rsidRDefault="00212A57" w14:paraId="5BF8D2D8" w14:textId="77777777">
      <w:pPr>
        <w:spacing w:after="0" w:line="360" w:lineRule="auto"/>
        <w:jc w:val="center"/>
        <w:rPr>
          <w:rFonts w:cs="Calibri"/>
          <w:sz w:val="24"/>
          <w:szCs w:val="24"/>
        </w:rPr>
      </w:pPr>
      <w:r>
        <w:rPr>
          <w:noProof/>
        </w:rPr>
        <w:drawing>
          <wp:inline distT="0" distB="0" distL="0" distR="0" wp14:anchorId="6F08E617" wp14:editId="781D241A">
            <wp:extent cx="5264657" cy="3509772"/>
            <wp:effectExtent l="38100" t="38100" r="31750" b="33655"/>
            <wp:docPr id="72288540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885404" name="drawing"/>
                    <pic:cNvPicPr>
                      <a:picLocks noChangeAspect="1"/>
                    </pic:cNvPicPr>
                  </pic:nvPicPr>
                  <pic:blipFill>
                    <a:blip r:embed="rId17"/>
                    <a:stretch>
                      <a:fillRect/>
                    </a:stretch>
                  </pic:blipFill>
                  <pic:spPr>
                    <a:xfrm>
                      <a:off x="0" y="0"/>
                      <a:ext cx="5301939" cy="3534626"/>
                    </a:xfrm>
                    <a:prstGeom prst="rect">
                      <a:avLst/>
                    </a:prstGeom>
                    <a:ln w="38100">
                      <a:solidFill>
                        <a:srgbClr val="002060"/>
                      </a:solidFill>
                      <a:prstDash val="solid"/>
                    </a:ln>
                  </pic:spPr>
                </pic:pic>
              </a:graphicData>
            </a:graphic>
          </wp:inline>
        </w:drawing>
      </w:r>
    </w:p>
    <w:p w:rsidRPr="00C1168C" w:rsidR="00527B8C" w:rsidP="00590D90" w:rsidRDefault="00212A57" w14:paraId="73BD9736" w14:textId="77777777">
      <w:pPr>
        <w:spacing w:after="0" w:line="360" w:lineRule="auto"/>
        <w:jc w:val="center"/>
        <w:rPr>
          <w:rFonts w:cs="Calibri"/>
          <w:i/>
          <w:iCs/>
          <w:sz w:val="20"/>
          <w:szCs w:val="20"/>
          <w:lang w:val="es"/>
        </w:rPr>
      </w:pPr>
      <w:r w:rsidRPr="00C1168C">
        <w:rPr>
          <w:rFonts w:cs="Calibri"/>
          <w:i/>
          <w:iCs/>
          <w:sz w:val="20"/>
          <w:szCs w:val="20"/>
          <w:lang w:val="es"/>
        </w:rPr>
        <w:t>Fuente</w:t>
      </w:r>
      <w:r w:rsidRPr="00C1168C">
        <w:rPr>
          <w:rFonts w:cs="Calibri"/>
          <w:i/>
          <w:iCs/>
          <w:sz w:val="20"/>
          <w:szCs w:val="20"/>
          <w:lang w:val="es-CO"/>
        </w:rPr>
        <w:t>: Agencia Nacional de Minería</w:t>
      </w:r>
      <w:r w:rsidRPr="00C1168C">
        <w:rPr>
          <w:rFonts w:cs="Calibri"/>
          <w:i/>
          <w:iCs/>
          <w:sz w:val="20"/>
          <w:szCs w:val="20"/>
          <w:lang w:val="es"/>
        </w:rPr>
        <w:t xml:space="preserve"> ANM, 2025.</w:t>
      </w:r>
    </w:p>
    <w:p w:rsidR="00527B8C" w:rsidRDefault="00527B8C" w14:paraId="4B5EDE4A" w14:textId="77777777">
      <w:pPr>
        <w:pStyle w:val="Prrafodelista"/>
        <w:spacing w:after="0" w:line="360" w:lineRule="auto"/>
        <w:ind w:left="420"/>
        <w:contextualSpacing w:val="0"/>
        <w:jc w:val="both"/>
        <w:rPr>
          <w:rFonts w:cs="Calibri"/>
          <w:b/>
          <w:bCs/>
          <w:sz w:val="24"/>
          <w:szCs w:val="24"/>
          <w:lang w:val="es-CO"/>
        </w:rPr>
      </w:pPr>
    </w:p>
    <w:p w:rsidR="00527B8C" w:rsidRDefault="00212A57" w14:paraId="11829779" w14:textId="77777777">
      <w:pPr>
        <w:spacing w:after="0" w:line="360" w:lineRule="auto"/>
        <w:ind w:firstLine="302" w:firstLineChars="126"/>
        <w:jc w:val="both"/>
        <w:rPr>
          <w:rFonts w:cs="Calibri"/>
          <w:sz w:val="24"/>
          <w:szCs w:val="24"/>
        </w:rPr>
      </w:pPr>
      <w:r>
        <w:rPr>
          <w:rFonts w:cs="Calibri"/>
          <w:sz w:val="24"/>
          <w:szCs w:val="24"/>
        </w:rPr>
        <w:t>De acuerdo con la consulta realizada el día 11 de diciembre 2025 en la plataforma de Génesis de la ANM (Agencia Nacional de Minería), en el municipio de Florencia y Cartagena del Chaira, se encuentran registrados mineros de subsistencia para la extracción de material de arrastre. Los detalles específicos se presentan a continuación en la tabla No. 1.</w:t>
      </w:r>
    </w:p>
    <w:p w:rsidR="00527B8C" w:rsidRDefault="00527B8C" w14:paraId="59F9C796" w14:textId="77777777">
      <w:pPr>
        <w:spacing w:after="0" w:line="360" w:lineRule="auto"/>
        <w:ind w:firstLine="302" w:firstLineChars="126"/>
        <w:jc w:val="both"/>
        <w:rPr>
          <w:rFonts w:cs="Calibri"/>
          <w:sz w:val="24"/>
          <w:szCs w:val="24"/>
        </w:rPr>
      </w:pPr>
    </w:p>
    <w:p w:rsidR="00527B8C" w:rsidP="00590D90" w:rsidRDefault="00212A57" w14:paraId="5E6A9C08" w14:textId="0077A168">
      <w:pPr>
        <w:pStyle w:val="Descripcin"/>
        <w:spacing w:after="0" w:line="360" w:lineRule="auto"/>
        <w:jc w:val="center"/>
        <w:rPr>
          <w:rFonts w:cs="Calibri"/>
          <w:i/>
          <w:iCs/>
          <w:sz w:val="24"/>
          <w:szCs w:val="24"/>
          <w:lang w:val="es-CO"/>
        </w:rPr>
      </w:pPr>
      <w:bookmarkStart w:name="_Toc216558750" w:id="46"/>
      <w:r>
        <w:rPr>
          <w:sz w:val="24"/>
          <w:szCs w:val="24"/>
        </w:rPr>
        <w:t xml:space="preserve">Tabla </w:t>
      </w:r>
      <w:r>
        <w:rPr>
          <w:sz w:val="24"/>
          <w:szCs w:val="24"/>
        </w:rPr>
        <w:fldChar w:fldCharType="begin"/>
      </w:r>
      <w:r>
        <w:rPr>
          <w:sz w:val="24"/>
          <w:szCs w:val="24"/>
        </w:rPr>
        <w:instrText xml:space="preserve"> SEQ Tabla \* ARABIC </w:instrText>
      </w:r>
      <w:r>
        <w:rPr>
          <w:sz w:val="24"/>
          <w:szCs w:val="24"/>
        </w:rPr>
        <w:fldChar w:fldCharType="separate"/>
      </w:r>
      <w:r w:rsidR="00EE79CE">
        <w:rPr>
          <w:noProof/>
          <w:sz w:val="24"/>
          <w:szCs w:val="24"/>
        </w:rPr>
        <w:t>6</w:t>
      </w:r>
      <w:r>
        <w:rPr>
          <w:sz w:val="24"/>
          <w:szCs w:val="24"/>
        </w:rPr>
        <w:fldChar w:fldCharType="end"/>
      </w:r>
      <w:r>
        <w:rPr>
          <w:sz w:val="24"/>
          <w:szCs w:val="24"/>
        </w:rPr>
        <w:t xml:space="preserve"> Mineros de subsistencia en el departamento de Caquetá</w:t>
      </w:r>
      <w:bookmarkEnd w:id="46"/>
    </w:p>
    <w:tbl>
      <w:tblPr>
        <w:tblStyle w:val="Tablaconcuadrcula"/>
        <w:tblW w:w="0" w:type="auto"/>
        <w:jc w:val="center"/>
        <w:tblLook w:val="04A0" w:firstRow="1" w:lastRow="0" w:firstColumn="1" w:lastColumn="0" w:noHBand="0" w:noVBand="1"/>
      </w:tblPr>
      <w:tblGrid>
        <w:gridCol w:w="1004"/>
        <w:gridCol w:w="2505"/>
        <w:gridCol w:w="1388"/>
        <w:gridCol w:w="3045"/>
      </w:tblGrid>
      <w:tr w:rsidR="00527B8C" w14:paraId="024662D1" w14:textId="77777777">
        <w:trPr>
          <w:trHeight w:val="300"/>
          <w:jc w:val="center"/>
        </w:trPr>
        <w:tc>
          <w:tcPr>
            <w:tcW w:w="1004" w:type="dxa"/>
            <w:tcBorders>
              <w:top w:val="single" w:color="auto" w:sz="8" w:space="0"/>
              <w:left w:val="single" w:color="auto" w:sz="8" w:space="0"/>
              <w:bottom w:val="single" w:color="auto" w:sz="8" w:space="0"/>
              <w:right w:val="single" w:color="auto" w:sz="8" w:space="0"/>
            </w:tcBorders>
            <w:shd w:val="clear" w:color="auto" w:fill="1B1F7D"/>
            <w:tcMar>
              <w:left w:w="108" w:type="dxa"/>
              <w:right w:w="108" w:type="dxa"/>
            </w:tcMar>
          </w:tcPr>
          <w:p w:rsidR="00527B8C" w:rsidRDefault="00212A57" w14:paraId="3AF0D73E" w14:textId="77777777">
            <w:pPr>
              <w:spacing w:after="0" w:line="360" w:lineRule="auto"/>
              <w:jc w:val="both"/>
              <w:rPr>
                <w:rFonts w:cs="Calibri"/>
                <w:b/>
                <w:bCs/>
                <w:sz w:val="20"/>
                <w:szCs w:val="20"/>
                <w:lang w:val="es"/>
              </w:rPr>
            </w:pPr>
            <w:r>
              <w:rPr>
                <w:rFonts w:cs="Calibri"/>
                <w:b/>
                <w:bCs/>
                <w:sz w:val="20"/>
                <w:szCs w:val="20"/>
                <w:lang w:val="es"/>
              </w:rPr>
              <w:t>ITEM</w:t>
            </w:r>
          </w:p>
        </w:tc>
        <w:tc>
          <w:tcPr>
            <w:tcW w:w="2505" w:type="dxa"/>
            <w:tcBorders>
              <w:top w:val="single" w:color="auto" w:sz="8" w:space="0"/>
              <w:left w:val="single" w:color="auto" w:sz="8" w:space="0"/>
              <w:bottom w:val="single" w:color="auto" w:sz="8" w:space="0"/>
              <w:right w:val="single" w:color="auto" w:sz="8" w:space="0"/>
            </w:tcBorders>
            <w:shd w:val="clear" w:color="auto" w:fill="1B1F7D"/>
            <w:tcMar>
              <w:left w:w="108" w:type="dxa"/>
              <w:right w:w="108" w:type="dxa"/>
            </w:tcMar>
          </w:tcPr>
          <w:p w:rsidR="00527B8C" w:rsidRDefault="00212A57" w14:paraId="447E346C" w14:textId="77777777">
            <w:pPr>
              <w:spacing w:after="0" w:line="360" w:lineRule="auto"/>
              <w:jc w:val="both"/>
              <w:rPr>
                <w:rFonts w:cs="Calibri"/>
                <w:b/>
                <w:bCs/>
                <w:sz w:val="20"/>
                <w:szCs w:val="20"/>
                <w:lang w:val="es"/>
              </w:rPr>
            </w:pPr>
            <w:r>
              <w:rPr>
                <w:rFonts w:cs="Calibri"/>
                <w:b/>
                <w:bCs/>
                <w:sz w:val="20"/>
                <w:szCs w:val="20"/>
                <w:lang w:val="es"/>
              </w:rPr>
              <w:t>CIUDAD</w:t>
            </w:r>
          </w:p>
        </w:tc>
        <w:tc>
          <w:tcPr>
            <w:tcW w:w="1388" w:type="dxa"/>
            <w:tcBorders>
              <w:top w:val="single" w:color="auto" w:sz="8" w:space="0"/>
              <w:left w:val="single" w:color="auto" w:sz="8" w:space="0"/>
              <w:bottom w:val="single" w:color="auto" w:sz="8" w:space="0"/>
              <w:right w:val="single" w:color="auto" w:sz="8" w:space="0"/>
            </w:tcBorders>
            <w:shd w:val="clear" w:color="auto" w:fill="1B1F7D"/>
            <w:tcMar>
              <w:left w:w="108" w:type="dxa"/>
              <w:right w:w="108" w:type="dxa"/>
            </w:tcMar>
          </w:tcPr>
          <w:p w:rsidR="00527B8C" w:rsidRDefault="00212A57" w14:paraId="38ADF757" w14:textId="77777777">
            <w:pPr>
              <w:spacing w:after="0" w:line="360" w:lineRule="auto"/>
              <w:jc w:val="both"/>
              <w:rPr>
                <w:rFonts w:cs="Calibri"/>
                <w:b/>
                <w:bCs/>
                <w:sz w:val="20"/>
                <w:szCs w:val="20"/>
                <w:lang w:val="es"/>
              </w:rPr>
            </w:pPr>
            <w:r>
              <w:rPr>
                <w:rFonts w:cs="Calibri"/>
                <w:b/>
                <w:bCs/>
                <w:sz w:val="20"/>
                <w:szCs w:val="20"/>
                <w:lang w:val="es"/>
              </w:rPr>
              <w:t>CANTIDAD</w:t>
            </w:r>
          </w:p>
        </w:tc>
        <w:tc>
          <w:tcPr>
            <w:tcW w:w="3045" w:type="dxa"/>
            <w:tcBorders>
              <w:top w:val="single" w:color="auto" w:sz="8" w:space="0"/>
              <w:left w:val="single" w:color="auto" w:sz="8" w:space="0"/>
              <w:bottom w:val="single" w:color="auto" w:sz="8" w:space="0"/>
              <w:right w:val="single" w:color="auto" w:sz="8" w:space="0"/>
            </w:tcBorders>
            <w:shd w:val="clear" w:color="auto" w:fill="1B1F7D"/>
            <w:tcMar>
              <w:left w:w="108" w:type="dxa"/>
              <w:right w:w="108" w:type="dxa"/>
            </w:tcMar>
          </w:tcPr>
          <w:p w:rsidR="00527B8C" w:rsidRDefault="00212A57" w14:paraId="04F691DC" w14:textId="77777777">
            <w:pPr>
              <w:spacing w:after="0" w:line="360" w:lineRule="auto"/>
              <w:jc w:val="both"/>
              <w:rPr>
                <w:rFonts w:cs="Calibri"/>
                <w:b/>
                <w:bCs/>
                <w:sz w:val="20"/>
                <w:szCs w:val="20"/>
                <w:lang w:val="es"/>
              </w:rPr>
            </w:pPr>
            <w:r>
              <w:rPr>
                <w:rFonts w:cs="Calibri"/>
                <w:b/>
                <w:bCs/>
                <w:sz w:val="20"/>
                <w:szCs w:val="20"/>
                <w:lang w:val="es"/>
              </w:rPr>
              <w:t>MATERIAL</w:t>
            </w:r>
          </w:p>
        </w:tc>
      </w:tr>
      <w:tr w:rsidR="00527B8C" w14:paraId="2AB203DD" w14:textId="77777777">
        <w:trPr>
          <w:trHeight w:val="300"/>
          <w:jc w:val="center"/>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6149A0C0" w14:textId="77777777">
            <w:pPr>
              <w:spacing w:after="0" w:line="360" w:lineRule="auto"/>
              <w:jc w:val="both"/>
              <w:rPr>
                <w:rFonts w:cs="Calibri"/>
                <w:b/>
                <w:bCs/>
                <w:sz w:val="20"/>
                <w:szCs w:val="20"/>
                <w:lang w:val="es"/>
              </w:rPr>
            </w:pPr>
            <w:r>
              <w:rPr>
                <w:rFonts w:cs="Calibri"/>
                <w:b/>
                <w:bCs/>
                <w:sz w:val="20"/>
                <w:szCs w:val="20"/>
                <w:lang w:val="es"/>
              </w:rPr>
              <w:t xml:space="preserve"> 1</w:t>
            </w:r>
          </w:p>
        </w:tc>
        <w:tc>
          <w:tcPr>
            <w:tcW w:w="2505"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60A8C1C3" w14:textId="77777777">
            <w:pPr>
              <w:spacing w:after="0" w:line="360" w:lineRule="auto"/>
              <w:jc w:val="both"/>
              <w:rPr>
                <w:rFonts w:cs="Calibri"/>
                <w:b/>
                <w:bCs/>
                <w:sz w:val="20"/>
                <w:szCs w:val="20"/>
                <w:lang w:val="es"/>
              </w:rPr>
            </w:pPr>
            <w:r>
              <w:rPr>
                <w:rFonts w:cs="Calibri"/>
                <w:b/>
                <w:bCs/>
                <w:sz w:val="20"/>
                <w:szCs w:val="20"/>
                <w:lang w:val="es"/>
              </w:rPr>
              <w:t>Florencia</w:t>
            </w:r>
          </w:p>
        </w:tc>
        <w:tc>
          <w:tcPr>
            <w:tcW w:w="1388"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451E48C8" w14:textId="77777777">
            <w:pPr>
              <w:spacing w:after="0" w:line="360" w:lineRule="auto"/>
              <w:jc w:val="both"/>
              <w:rPr>
                <w:rFonts w:cs="Calibri"/>
                <w:b/>
                <w:bCs/>
                <w:sz w:val="20"/>
                <w:szCs w:val="20"/>
                <w:lang w:val="es"/>
              </w:rPr>
            </w:pPr>
            <w:r>
              <w:rPr>
                <w:rFonts w:cs="Calibri"/>
                <w:b/>
                <w:bCs/>
                <w:sz w:val="20"/>
                <w:szCs w:val="20"/>
                <w:lang w:val="es"/>
              </w:rPr>
              <w:t>3</w:t>
            </w:r>
          </w:p>
        </w:tc>
        <w:tc>
          <w:tcPr>
            <w:tcW w:w="3045"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35DAEC8F" w14:textId="77777777">
            <w:pPr>
              <w:spacing w:after="0" w:line="360" w:lineRule="auto"/>
              <w:jc w:val="both"/>
              <w:rPr>
                <w:rFonts w:cs="Calibri"/>
                <w:color w:val="000000" w:themeColor="text1"/>
                <w:sz w:val="20"/>
                <w:szCs w:val="20"/>
                <w:lang w:val="es"/>
              </w:rPr>
            </w:pPr>
            <w:r>
              <w:rPr>
                <w:rFonts w:cs="Calibri"/>
                <w:color w:val="000000" w:themeColor="text1"/>
                <w:sz w:val="20"/>
                <w:szCs w:val="20"/>
                <w:lang w:val="es"/>
              </w:rPr>
              <w:t xml:space="preserve">Gravas de </w:t>
            </w:r>
            <w:r>
              <w:rPr>
                <w:rFonts w:cs="Calibri"/>
                <w:sz w:val="20"/>
                <w:szCs w:val="20"/>
              </w:rPr>
              <w:t>río y arena de río.</w:t>
            </w:r>
            <w:r>
              <w:rPr>
                <w:rFonts w:cs="Calibri"/>
                <w:color w:val="000000" w:themeColor="text1"/>
                <w:sz w:val="20"/>
                <w:szCs w:val="20"/>
                <w:lang w:val="es"/>
              </w:rPr>
              <w:t xml:space="preserve"> </w:t>
            </w:r>
          </w:p>
        </w:tc>
      </w:tr>
      <w:tr w:rsidR="00527B8C" w:rsidTr="00C1168C" w14:paraId="44A6F1CA" w14:textId="77777777">
        <w:trPr>
          <w:trHeight w:val="268"/>
          <w:jc w:val="center"/>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0A4B0DEE" w14:textId="77777777">
            <w:pPr>
              <w:spacing w:after="0" w:line="360" w:lineRule="auto"/>
              <w:jc w:val="both"/>
              <w:rPr>
                <w:rFonts w:cs="Calibri"/>
                <w:b/>
                <w:bCs/>
                <w:sz w:val="20"/>
                <w:szCs w:val="20"/>
                <w:lang w:val="es"/>
              </w:rPr>
            </w:pPr>
            <w:r>
              <w:rPr>
                <w:rFonts w:cs="Calibri"/>
                <w:b/>
                <w:bCs/>
                <w:sz w:val="20"/>
                <w:szCs w:val="20"/>
                <w:lang w:val="es"/>
              </w:rPr>
              <w:t xml:space="preserve"> 2</w:t>
            </w:r>
          </w:p>
        </w:tc>
        <w:tc>
          <w:tcPr>
            <w:tcW w:w="2505"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7C62125D" w14:textId="77777777">
            <w:pPr>
              <w:spacing w:after="0" w:line="360" w:lineRule="auto"/>
              <w:jc w:val="both"/>
              <w:rPr>
                <w:rFonts w:cs="Calibri"/>
                <w:b/>
                <w:bCs/>
                <w:sz w:val="20"/>
                <w:szCs w:val="20"/>
                <w:lang w:val="es"/>
              </w:rPr>
            </w:pPr>
            <w:r>
              <w:rPr>
                <w:rFonts w:cs="Calibri"/>
                <w:b/>
                <w:bCs/>
                <w:sz w:val="20"/>
                <w:szCs w:val="20"/>
                <w:lang w:val="es"/>
              </w:rPr>
              <w:t>Cartagena del Chaira</w:t>
            </w:r>
          </w:p>
        </w:tc>
        <w:tc>
          <w:tcPr>
            <w:tcW w:w="1388"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59676EBF" w14:textId="77777777">
            <w:pPr>
              <w:spacing w:after="0" w:line="360" w:lineRule="auto"/>
              <w:jc w:val="both"/>
              <w:rPr>
                <w:rFonts w:cs="Calibri"/>
                <w:b/>
                <w:bCs/>
                <w:sz w:val="20"/>
                <w:szCs w:val="20"/>
                <w:lang w:val="es"/>
              </w:rPr>
            </w:pPr>
            <w:r>
              <w:rPr>
                <w:rFonts w:cs="Calibri"/>
                <w:b/>
                <w:bCs/>
                <w:sz w:val="20"/>
                <w:szCs w:val="20"/>
                <w:lang w:val="es"/>
              </w:rPr>
              <w:t xml:space="preserve"> 7</w:t>
            </w:r>
          </w:p>
        </w:tc>
        <w:tc>
          <w:tcPr>
            <w:tcW w:w="3045"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7010840E" w14:textId="77777777">
            <w:pPr>
              <w:spacing w:after="0" w:line="360" w:lineRule="auto"/>
              <w:jc w:val="both"/>
              <w:rPr>
                <w:rFonts w:cs="Calibri"/>
                <w:color w:val="000000" w:themeColor="text1"/>
                <w:sz w:val="20"/>
                <w:szCs w:val="20"/>
                <w:lang w:val="es"/>
              </w:rPr>
            </w:pPr>
            <w:r>
              <w:rPr>
                <w:rFonts w:cs="Calibri"/>
                <w:b/>
                <w:bCs/>
                <w:sz w:val="20"/>
                <w:szCs w:val="20"/>
                <w:lang w:val="es"/>
              </w:rPr>
              <w:t xml:space="preserve"> </w:t>
            </w:r>
            <w:r>
              <w:rPr>
                <w:rFonts w:cs="Calibri"/>
                <w:color w:val="000000" w:themeColor="text1"/>
                <w:sz w:val="20"/>
                <w:szCs w:val="20"/>
                <w:lang w:val="es"/>
              </w:rPr>
              <w:t xml:space="preserve">Gravas de </w:t>
            </w:r>
            <w:r>
              <w:rPr>
                <w:rFonts w:cs="Calibri"/>
                <w:sz w:val="20"/>
                <w:szCs w:val="20"/>
              </w:rPr>
              <w:t>río y arena de río</w:t>
            </w:r>
          </w:p>
        </w:tc>
      </w:tr>
    </w:tbl>
    <w:p w:rsidR="00527B8C" w:rsidRDefault="00527B8C" w14:paraId="5396B104" w14:textId="77777777">
      <w:pPr>
        <w:spacing w:after="0" w:line="360" w:lineRule="auto"/>
        <w:jc w:val="both"/>
        <w:rPr>
          <w:rFonts w:cs="Calibri"/>
          <w:sz w:val="24"/>
          <w:szCs w:val="24"/>
          <w:lang w:val="es-CO"/>
        </w:rPr>
      </w:pPr>
    </w:p>
    <w:p w:rsidR="00527B8C" w:rsidRDefault="00212A57" w14:paraId="5711D01A" w14:textId="77777777">
      <w:pPr>
        <w:spacing w:after="0" w:line="360" w:lineRule="auto"/>
        <w:ind w:firstLine="302" w:firstLineChars="126"/>
        <w:jc w:val="both"/>
        <w:rPr>
          <w:rFonts w:cs="Calibri"/>
          <w:sz w:val="24"/>
          <w:szCs w:val="24"/>
          <w:lang w:val="es-CO"/>
        </w:rPr>
      </w:pPr>
      <w:r>
        <w:rPr>
          <w:rFonts w:cs="Calibri"/>
          <w:sz w:val="24"/>
          <w:szCs w:val="24"/>
          <w:lang w:val="es-CO"/>
        </w:rPr>
        <w:t>La mayoría de los títulos mineros en el departamento de Caquetá están ubicados al Noroeste del departamento como se indica en la mapa No. 4</w:t>
      </w:r>
    </w:p>
    <w:p w:rsidR="00527B8C" w:rsidRDefault="00527B8C" w14:paraId="616953A1" w14:textId="77777777">
      <w:pPr>
        <w:spacing w:after="0" w:line="360" w:lineRule="auto"/>
        <w:jc w:val="both"/>
        <w:rPr>
          <w:rFonts w:cs="Calibri"/>
          <w:sz w:val="24"/>
          <w:szCs w:val="24"/>
          <w:lang w:val="es-CO"/>
        </w:rPr>
      </w:pPr>
    </w:p>
    <w:p w:rsidR="00527B8C" w:rsidP="00C1168C" w:rsidRDefault="00212A57" w14:paraId="6C4533B2" w14:textId="2D079623">
      <w:pPr>
        <w:pStyle w:val="Descripcin"/>
        <w:spacing w:after="0" w:line="360" w:lineRule="auto"/>
        <w:jc w:val="center"/>
        <w:rPr>
          <w:rFonts w:cs="Calibri"/>
          <w:b w:val="0"/>
          <w:bCs w:val="0"/>
          <w:sz w:val="24"/>
          <w:szCs w:val="24"/>
          <w:lang w:val="es-CO"/>
        </w:rPr>
      </w:pPr>
      <w:bookmarkStart w:name="_Toc216558731" w:id="47"/>
      <w:r>
        <w:rPr>
          <w:sz w:val="24"/>
          <w:szCs w:val="24"/>
        </w:rPr>
        <w:t xml:space="preserve">Mapa </w:t>
      </w:r>
      <w:r>
        <w:rPr>
          <w:sz w:val="24"/>
          <w:szCs w:val="24"/>
          <w:lang w:val="es-CO"/>
        </w:rPr>
        <w:t xml:space="preserve">No. </w:t>
      </w:r>
      <w:r>
        <w:rPr>
          <w:sz w:val="24"/>
          <w:szCs w:val="24"/>
        </w:rPr>
        <w:fldChar w:fldCharType="begin"/>
      </w:r>
      <w:r>
        <w:rPr>
          <w:sz w:val="24"/>
          <w:szCs w:val="24"/>
        </w:rPr>
        <w:instrText xml:space="preserve"> SEQ Mapa \* ARABIC </w:instrText>
      </w:r>
      <w:r>
        <w:rPr>
          <w:sz w:val="24"/>
          <w:szCs w:val="24"/>
        </w:rPr>
        <w:fldChar w:fldCharType="separate"/>
      </w:r>
      <w:r w:rsidR="00EE79CE">
        <w:rPr>
          <w:noProof/>
          <w:sz w:val="24"/>
          <w:szCs w:val="24"/>
        </w:rPr>
        <w:t>3</w:t>
      </w:r>
      <w:r>
        <w:rPr>
          <w:sz w:val="24"/>
          <w:szCs w:val="24"/>
        </w:rPr>
        <w:fldChar w:fldCharType="end"/>
      </w:r>
      <w:r>
        <w:rPr>
          <w:sz w:val="24"/>
          <w:szCs w:val="24"/>
        </w:rPr>
        <w:t xml:space="preserve">  Extracción de material de arrastre en el departamento del Caquetá</w:t>
      </w:r>
      <w:bookmarkEnd w:id="47"/>
    </w:p>
    <w:p w:rsidR="00527B8C" w:rsidRDefault="00212A57" w14:paraId="35DD2029" w14:textId="77777777">
      <w:pPr>
        <w:pStyle w:val="Prrafodelista"/>
        <w:spacing w:after="0" w:line="360" w:lineRule="auto"/>
        <w:ind w:left="420"/>
        <w:jc w:val="both"/>
      </w:pPr>
      <w:r>
        <w:rPr>
          <w:noProof/>
        </w:rPr>
        <w:drawing>
          <wp:inline distT="0" distB="0" distL="0" distR="0" wp14:anchorId="368DF0D7" wp14:editId="7E5D4191">
            <wp:extent cx="5153025" cy="3453130"/>
            <wp:effectExtent l="38100" t="38100" r="28575" b="33020"/>
            <wp:docPr id="60269633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696333" name="drawing"/>
                    <pic:cNvPicPr>
                      <a:picLocks noChangeAspect="1"/>
                    </pic:cNvPicPr>
                  </pic:nvPicPr>
                  <pic:blipFill>
                    <a:blip r:embed="rId18"/>
                    <a:stretch>
                      <a:fillRect/>
                    </a:stretch>
                  </pic:blipFill>
                  <pic:spPr>
                    <a:xfrm>
                      <a:off x="0" y="0"/>
                      <a:ext cx="5153025" cy="3453243"/>
                    </a:xfrm>
                    <a:prstGeom prst="rect">
                      <a:avLst/>
                    </a:prstGeom>
                    <a:ln w="38100">
                      <a:solidFill>
                        <a:srgbClr val="002060"/>
                      </a:solidFill>
                    </a:ln>
                  </pic:spPr>
                </pic:pic>
              </a:graphicData>
            </a:graphic>
          </wp:inline>
        </w:drawing>
      </w:r>
    </w:p>
    <w:p w:rsidRPr="00C1168C" w:rsidR="00527B8C" w:rsidP="00C1168C" w:rsidRDefault="00212A57" w14:paraId="7F279F54" w14:textId="77777777">
      <w:pPr>
        <w:pStyle w:val="Prrafodelista"/>
        <w:spacing w:after="0" w:line="360" w:lineRule="auto"/>
        <w:ind w:left="420"/>
        <w:jc w:val="center"/>
        <w:rPr>
          <w:rFonts w:cs="Calibri"/>
          <w:i/>
          <w:iCs/>
          <w:sz w:val="20"/>
          <w:szCs w:val="20"/>
          <w:lang w:val="es"/>
        </w:rPr>
      </w:pPr>
      <w:r w:rsidRPr="00C1168C">
        <w:rPr>
          <w:rFonts w:cs="Calibri"/>
          <w:i/>
          <w:iCs/>
          <w:sz w:val="20"/>
          <w:szCs w:val="20"/>
          <w:lang w:val="es"/>
        </w:rPr>
        <w:t>Fuente</w:t>
      </w:r>
      <w:r w:rsidRPr="00C1168C">
        <w:rPr>
          <w:rFonts w:cs="Calibri"/>
          <w:i/>
          <w:iCs/>
          <w:sz w:val="20"/>
          <w:szCs w:val="20"/>
          <w:lang w:val="es-CO"/>
        </w:rPr>
        <w:t>:</w:t>
      </w:r>
      <w:r w:rsidRPr="00C1168C">
        <w:rPr>
          <w:rFonts w:cs="Calibri"/>
          <w:i/>
          <w:iCs/>
          <w:sz w:val="20"/>
          <w:szCs w:val="20"/>
          <w:lang w:val="es"/>
        </w:rPr>
        <w:t xml:space="preserve"> </w:t>
      </w:r>
      <w:r w:rsidRPr="00C1168C">
        <w:rPr>
          <w:rFonts w:cs="Calibri"/>
          <w:i/>
          <w:iCs/>
          <w:sz w:val="20"/>
          <w:szCs w:val="20"/>
          <w:lang w:val="es-CO"/>
        </w:rPr>
        <w:t xml:space="preserve">Agencia Nacional de Minería </w:t>
      </w:r>
      <w:r w:rsidRPr="00C1168C">
        <w:rPr>
          <w:rFonts w:cs="Calibri"/>
          <w:i/>
          <w:iCs/>
          <w:sz w:val="20"/>
          <w:szCs w:val="20"/>
          <w:lang w:val="es"/>
        </w:rPr>
        <w:t>ANM, 2025.</w:t>
      </w:r>
    </w:p>
    <w:p w:rsidR="00527B8C" w:rsidRDefault="00527B8C" w14:paraId="2E1862EF" w14:textId="77777777">
      <w:pPr>
        <w:spacing w:after="0" w:line="360" w:lineRule="auto"/>
        <w:jc w:val="both"/>
        <w:rPr>
          <w:rFonts w:cs="Calibri"/>
          <w:sz w:val="24"/>
          <w:szCs w:val="24"/>
          <w:lang w:val="es-CO"/>
        </w:rPr>
      </w:pPr>
    </w:p>
    <w:p w:rsidR="00527B8C" w:rsidRDefault="00212A57" w14:paraId="789849C1" w14:textId="77777777">
      <w:pPr>
        <w:pStyle w:val="Ttulo4"/>
        <w:keepNext w:val="0"/>
        <w:keepLines w:val="0"/>
        <w:spacing w:before="0" w:line="360" w:lineRule="auto"/>
        <w:jc w:val="both"/>
        <w:rPr>
          <w:rFonts w:ascii="Calibri" w:hAnsi="Calibri" w:eastAsia="Calibri" w:cs="Calibri"/>
          <w:sz w:val="24"/>
          <w:szCs w:val="24"/>
          <w:lang w:val="es-CO"/>
        </w:rPr>
      </w:pPr>
      <w:bookmarkStart w:name="_Toc562030832" w:id="1749716683"/>
      <w:r w:rsidRPr="53DEF7DD" w:rsidR="670101B5">
        <w:rPr>
          <w:rFonts w:ascii="Calibri" w:hAnsi="Calibri" w:eastAsia="Calibri" w:cs="Calibri"/>
          <w:sz w:val="24"/>
          <w:szCs w:val="24"/>
          <w:lang w:val="es-CO"/>
        </w:rPr>
        <w:t>4.4.1.3 Departamento de Guainía</w:t>
      </w:r>
      <w:bookmarkEnd w:id="1749716683"/>
    </w:p>
    <w:p w:rsidR="00527B8C" w:rsidRDefault="00212A57" w14:paraId="055276A4" w14:textId="77777777">
      <w:pPr>
        <w:spacing w:line="360" w:lineRule="auto"/>
        <w:ind w:firstLine="302" w:firstLineChars="126"/>
        <w:jc w:val="both"/>
        <w:rPr>
          <w:rFonts w:cs="Calibri"/>
          <w:sz w:val="24"/>
          <w:szCs w:val="24"/>
          <w:lang w:val="es"/>
        </w:rPr>
      </w:pPr>
      <w:r>
        <w:rPr>
          <w:rFonts w:cs="Calibri"/>
          <w:sz w:val="24"/>
          <w:szCs w:val="24"/>
          <w:lang w:val="es-CO"/>
        </w:rPr>
        <w:t>En el departamento de Guainía no existe títulos mineros para material de arrastre (material de construcción). Sin embargo, a</w:t>
      </w:r>
      <w:r>
        <w:rPr>
          <w:rFonts w:cs="Calibri"/>
          <w:sz w:val="24"/>
          <w:szCs w:val="24"/>
          <w:lang w:val="es"/>
        </w:rPr>
        <w:t>guas abajo del Río Inírida en la cabecera municipal (coordenadas Latitud 3.90827 y Longitud 67.90798), se encuentra un total de 20 personas que realizan la extracción de material de arrastre (cantos rodados y arena), de manera manual, en función de la demanda local. Si bien la actividad general es informal, la consulta realizada el 11 de diciembre de 2025 en la plataforma Génesis de la ANM reveló que cuatro (4) de estos individuos cuentan con un registro como mineros de subsistencia para la extracción de ar</w:t>
      </w:r>
      <w:r>
        <w:rPr>
          <w:rFonts w:cs="Calibri"/>
          <w:sz w:val="24"/>
          <w:szCs w:val="24"/>
          <w:lang w:val="es"/>
        </w:rPr>
        <w:t>cilla, gravas y arena de río.</w:t>
      </w:r>
    </w:p>
    <w:p w:rsidR="00527B8C" w:rsidRDefault="00527B8C" w14:paraId="17347074" w14:textId="77777777">
      <w:pPr>
        <w:pStyle w:val="Prrafodelista"/>
        <w:spacing w:after="0" w:line="360" w:lineRule="auto"/>
        <w:ind w:left="420" w:firstLine="304" w:firstLineChars="126"/>
        <w:jc w:val="both"/>
        <w:rPr>
          <w:rFonts w:cs="Calibri"/>
          <w:b/>
          <w:bCs/>
          <w:sz w:val="24"/>
          <w:szCs w:val="24"/>
          <w:lang w:val="es-CO"/>
        </w:rPr>
      </w:pPr>
    </w:p>
    <w:p w:rsidR="00527B8C" w:rsidRDefault="00212A57" w14:paraId="51CACC5C" w14:textId="658AAA62">
      <w:pPr>
        <w:pStyle w:val="Descripcin"/>
        <w:spacing w:after="0" w:line="360" w:lineRule="auto"/>
        <w:jc w:val="both"/>
        <w:rPr>
          <w:rFonts w:cs="Calibri"/>
          <w:i/>
          <w:iCs/>
          <w:sz w:val="24"/>
          <w:szCs w:val="24"/>
        </w:rPr>
      </w:pPr>
      <w:bookmarkStart w:name="_Toc216558732" w:id="49"/>
      <w:r>
        <w:rPr>
          <w:sz w:val="24"/>
          <w:szCs w:val="24"/>
        </w:rPr>
        <w:t xml:space="preserve">Mapa </w:t>
      </w:r>
      <w:r>
        <w:rPr>
          <w:sz w:val="24"/>
          <w:szCs w:val="24"/>
          <w:lang w:val="es-CO"/>
        </w:rPr>
        <w:t xml:space="preserve">No. </w:t>
      </w:r>
      <w:r>
        <w:rPr>
          <w:sz w:val="24"/>
          <w:szCs w:val="24"/>
        </w:rPr>
        <w:fldChar w:fldCharType="begin"/>
      </w:r>
      <w:r>
        <w:rPr>
          <w:sz w:val="24"/>
          <w:szCs w:val="24"/>
        </w:rPr>
        <w:instrText xml:space="preserve"> SEQ Mapa \* ARABIC </w:instrText>
      </w:r>
      <w:r>
        <w:rPr>
          <w:sz w:val="24"/>
          <w:szCs w:val="24"/>
        </w:rPr>
        <w:fldChar w:fldCharType="separate"/>
      </w:r>
      <w:r w:rsidR="00EE79CE">
        <w:rPr>
          <w:noProof/>
          <w:sz w:val="24"/>
          <w:szCs w:val="24"/>
        </w:rPr>
        <w:t>4</w:t>
      </w:r>
      <w:r>
        <w:rPr>
          <w:sz w:val="24"/>
          <w:szCs w:val="24"/>
        </w:rPr>
        <w:fldChar w:fldCharType="end"/>
      </w:r>
      <w:r>
        <w:rPr>
          <w:sz w:val="24"/>
          <w:szCs w:val="24"/>
        </w:rPr>
        <w:t xml:space="preserve"> Extracción de material de arrastre sobre el Río Inírida, departamento de Guainía</w:t>
      </w:r>
      <w:bookmarkEnd w:id="49"/>
    </w:p>
    <w:p w:rsidR="00527B8C" w:rsidRDefault="00212A57" w14:paraId="6C0EC46E" w14:textId="77777777">
      <w:pPr>
        <w:pStyle w:val="Prrafodelista"/>
        <w:spacing w:after="0" w:line="360" w:lineRule="auto"/>
        <w:ind w:left="420"/>
        <w:jc w:val="both"/>
      </w:pPr>
      <w:r>
        <w:rPr>
          <w:noProof/>
        </w:rPr>
        <w:drawing>
          <wp:inline distT="0" distB="0" distL="0" distR="0" wp14:anchorId="5AA9533B" wp14:editId="2CEAEC81">
            <wp:extent cx="5257800" cy="3651250"/>
            <wp:effectExtent l="38100" t="38100" r="38100" b="44450"/>
            <wp:docPr id="142965937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659373" name="drawing"/>
                    <pic:cNvPicPr>
                      <a:picLocks noChangeAspect="1"/>
                    </pic:cNvPicPr>
                  </pic:nvPicPr>
                  <pic:blipFill>
                    <a:blip r:embed="rId19"/>
                    <a:stretch>
                      <a:fillRect/>
                    </a:stretch>
                  </pic:blipFill>
                  <pic:spPr>
                    <a:xfrm>
                      <a:off x="0" y="0"/>
                      <a:ext cx="5257800" cy="3651250"/>
                    </a:xfrm>
                    <a:prstGeom prst="rect">
                      <a:avLst/>
                    </a:prstGeom>
                    <a:ln w="38100">
                      <a:solidFill>
                        <a:srgbClr val="002060"/>
                      </a:solidFill>
                    </a:ln>
                  </pic:spPr>
                </pic:pic>
              </a:graphicData>
            </a:graphic>
          </wp:inline>
        </w:drawing>
      </w:r>
    </w:p>
    <w:p w:rsidRPr="00C1168C" w:rsidR="00527B8C" w:rsidP="00C1168C" w:rsidRDefault="00212A57" w14:paraId="0D929617" w14:textId="77777777">
      <w:pPr>
        <w:pStyle w:val="Prrafodelista"/>
        <w:spacing w:after="0" w:line="360" w:lineRule="auto"/>
        <w:ind w:left="420"/>
        <w:jc w:val="center"/>
        <w:rPr>
          <w:rFonts w:cs="Calibri"/>
          <w:i/>
          <w:iCs/>
          <w:sz w:val="20"/>
          <w:szCs w:val="20"/>
          <w:lang w:val="es-CO"/>
        </w:rPr>
      </w:pPr>
      <w:r w:rsidRPr="00C1168C">
        <w:rPr>
          <w:rFonts w:cs="Calibri"/>
          <w:i/>
          <w:iCs/>
          <w:sz w:val="20"/>
          <w:szCs w:val="20"/>
          <w:lang w:val="es-CO"/>
        </w:rPr>
        <w:t>Fuente: Agencia Nacional de Minería ANM, 2025</w:t>
      </w:r>
    </w:p>
    <w:p w:rsidR="00527B8C" w:rsidRDefault="00527B8C" w14:paraId="4B94BA02" w14:textId="77777777">
      <w:pPr>
        <w:pStyle w:val="Prrafodelista"/>
        <w:spacing w:after="0" w:line="360" w:lineRule="auto"/>
        <w:ind w:left="420"/>
        <w:jc w:val="both"/>
        <w:rPr>
          <w:rFonts w:cs="Calibri"/>
          <w:i/>
          <w:iCs/>
          <w:sz w:val="24"/>
          <w:szCs w:val="24"/>
          <w:lang w:val="es-CO"/>
        </w:rPr>
      </w:pPr>
    </w:p>
    <w:p w:rsidR="00527B8C" w:rsidRDefault="00212A57" w14:paraId="23B0CDC6" w14:textId="77777777">
      <w:pPr>
        <w:pStyle w:val="Ttulo4"/>
        <w:spacing w:line="360" w:lineRule="auto"/>
        <w:jc w:val="both"/>
        <w:rPr>
          <w:rFonts w:ascii="Calibri" w:hAnsi="Calibri" w:eastAsia="Calibri" w:cs="Calibri"/>
          <w:sz w:val="24"/>
          <w:szCs w:val="24"/>
          <w:lang w:val="es-CO"/>
        </w:rPr>
      </w:pPr>
      <w:bookmarkStart w:name="_Toc1774337858" w:id="359785258"/>
      <w:r w:rsidRPr="53DEF7DD" w:rsidR="670101B5">
        <w:rPr>
          <w:rFonts w:ascii="Calibri" w:hAnsi="Calibri" w:eastAsia="Calibri" w:cs="Calibri"/>
          <w:sz w:val="24"/>
          <w:szCs w:val="24"/>
          <w:lang w:val="es-CO"/>
        </w:rPr>
        <w:t>4.4.1.4 Departamento de Putumayo</w:t>
      </w:r>
      <w:bookmarkEnd w:id="359785258"/>
    </w:p>
    <w:p w:rsidR="00527B8C" w:rsidRDefault="00527B8C" w14:paraId="50D2DFBF" w14:textId="77777777">
      <w:pPr>
        <w:spacing w:after="0" w:line="360" w:lineRule="auto"/>
        <w:jc w:val="both"/>
        <w:rPr>
          <w:rFonts w:cs="Calibri"/>
          <w:sz w:val="24"/>
          <w:szCs w:val="24"/>
          <w:lang w:val="es-CO"/>
        </w:rPr>
      </w:pPr>
    </w:p>
    <w:p w:rsidR="00527B8C" w:rsidRDefault="00212A57" w14:paraId="44DE92C7" w14:textId="77777777">
      <w:pPr>
        <w:spacing w:after="0" w:line="360" w:lineRule="auto"/>
        <w:ind w:firstLine="302" w:firstLineChars="126"/>
        <w:jc w:val="both"/>
        <w:rPr>
          <w:rFonts w:cs="Calibri"/>
          <w:sz w:val="24"/>
          <w:szCs w:val="24"/>
          <w:lang w:val="es-CO"/>
        </w:rPr>
      </w:pPr>
      <w:r>
        <w:rPr>
          <w:rFonts w:cs="Calibri"/>
          <w:sz w:val="24"/>
          <w:szCs w:val="24"/>
          <w:lang w:val="es-CO"/>
        </w:rPr>
        <w:t xml:space="preserve">La actividad de explotación de material de arrastre en el departamento del Putumayo reviste importancia para el desarrollo de centros urbanos. De acuerdo con lo estipulado en el Plan de Desarrollo Departamental del Putumayo 2024 – 2027, la demanda es crucial para municipios como Mocoa, San Francisco, Colón, Santiago, Villa Garzón, Puerto Caicedo, Orito, Puerto Asís, Puerto Guzmán y Puerto Leguízamo.  Esta extracción se concentra principalmente en los ríos Mocoa, Caquetá y Putumayo, incluyendo los afluentes </w:t>
      </w:r>
      <w:r>
        <w:rPr>
          <w:rFonts w:cs="Calibri"/>
          <w:sz w:val="24"/>
          <w:szCs w:val="24"/>
          <w:lang w:val="es-CO"/>
        </w:rPr>
        <w:t>del río Orito.</w:t>
      </w:r>
    </w:p>
    <w:p w:rsidR="00527B8C" w:rsidRDefault="00527B8C" w14:paraId="29B1C7D1" w14:textId="77777777">
      <w:pPr>
        <w:spacing w:after="0" w:line="360" w:lineRule="auto"/>
        <w:ind w:firstLine="302" w:firstLineChars="126"/>
        <w:jc w:val="both"/>
        <w:rPr>
          <w:rFonts w:cs="Calibri"/>
          <w:sz w:val="24"/>
          <w:szCs w:val="24"/>
          <w:lang w:val="es-CO"/>
        </w:rPr>
      </w:pPr>
    </w:p>
    <w:p w:rsidR="00527B8C" w:rsidRDefault="00212A57" w14:paraId="244B6981" w14:textId="77777777">
      <w:pPr>
        <w:spacing w:after="0" w:line="360" w:lineRule="auto"/>
        <w:ind w:firstLine="302" w:firstLineChars="126"/>
        <w:jc w:val="both"/>
        <w:rPr>
          <w:rFonts w:cs="Calibri"/>
          <w:sz w:val="24"/>
          <w:szCs w:val="24"/>
          <w:lang w:val="es-CO"/>
        </w:rPr>
      </w:pPr>
      <w:r>
        <w:rPr>
          <w:rFonts w:cs="Calibri"/>
          <w:sz w:val="24"/>
          <w:szCs w:val="24"/>
          <w:lang w:val="es-CO"/>
        </w:rPr>
        <w:t>Actualmente, se registra una alta demanda de material de arrastre en el municipio de San Francisco, actividad que está asociada a la construcción de la variante San Francisco Mocoa, un proyecto de infraestructura vial de importancia estratégica en la región.</w:t>
      </w:r>
    </w:p>
    <w:p w:rsidR="00527B8C" w:rsidRDefault="00527B8C" w14:paraId="7C1B45C3" w14:textId="77777777">
      <w:pPr>
        <w:spacing w:after="0" w:line="360" w:lineRule="auto"/>
        <w:ind w:firstLine="302" w:firstLineChars="126"/>
        <w:jc w:val="both"/>
        <w:rPr>
          <w:rFonts w:cs="Calibri"/>
          <w:sz w:val="24"/>
          <w:szCs w:val="24"/>
          <w:lang w:val="es-CO"/>
        </w:rPr>
      </w:pPr>
    </w:p>
    <w:p w:rsidR="00527B8C" w:rsidRDefault="00212A57" w14:paraId="3D504A1E" w14:textId="77777777">
      <w:pPr>
        <w:spacing w:after="0" w:line="360" w:lineRule="auto"/>
        <w:ind w:firstLine="302" w:firstLineChars="126"/>
        <w:jc w:val="both"/>
        <w:rPr>
          <w:rFonts w:cs="Calibri"/>
          <w:sz w:val="24"/>
          <w:szCs w:val="24"/>
          <w:lang w:val="es-CO"/>
        </w:rPr>
      </w:pPr>
      <w:r>
        <w:rPr>
          <w:rFonts w:cs="Calibri"/>
          <w:sz w:val="24"/>
          <w:szCs w:val="24"/>
          <w:lang w:val="es-CO"/>
        </w:rPr>
        <w:t>Los depósitos de material en la zona están constituidos por areniscas conglomeráticas son generalmente matriz soportadas, aunque en algunos sectores se puede identificar clasto soportadas, la matriz se compone de arena media a gruesas y los clastos son de forma ovoide,  subredondeados a redondeados, el diámetro medio oscila entre los 2 a 5 centímetros, aunque muy pocos pueden superar esta media, son clastos de rocas tipo basalto, dacitas, en la literatura geológica se dice que se encuentran clastos de chert</w:t>
      </w:r>
      <w:r>
        <w:rPr>
          <w:rFonts w:cs="Calibri"/>
          <w:sz w:val="24"/>
          <w:szCs w:val="24"/>
          <w:lang w:val="es-CO"/>
        </w:rPr>
        <w:t>.</w:t>
      </w:r>
    </w:p>
    <w:p w:rsidR="00527B8C" w:rsidRDefault="00527B8C" w14:paraId="4C38398A" w14:textId="77777777">
      <w:pPr>
        <w:spacing w:after="0" w:line="360" w:lineRule="auto"/>
        <w:ind w:firstLine="302" w:firstLineChars="126"/>
        <w:jc w:val="both"/>
        <w:rPr>
          <w:rFonts w:cs="Calibri"/>
          <w:sz w:val="24"/>
          <w:szCs w:val="24"/>
          <w:lang w:val="es-CO"/>
        </w:rPr>
      </w:pPr>
    </w:p>
    <w:p w:rsidR="00527B8C" w:rsidRDefault="00212A57" w14:paraId="24043867" w14:textId="77777777">
      <w:pPr>
        <w:spacing w:after="0" w:line="360" w:lineRule="auto"/>
        <w:ind w:firstLine="302" w:firstLineChars="126"/>
        <w:jc w:val="both"/>
        <w:rPr>
          <w:rFonts w:cs="Calibri"/>
          <w:sz w:val="24"/>
          <w:szCs w:val="24"/>
          <w:lang w:val="es-CO"/>
        </w:rPr>
      </w:pPr>
      <w:r>
        <w:rPr>
          <w:rFonts w:cs="Calibri"/>
          <w:sz w:val="24"/>
          <w:szCs w:val="24"/>
          <w:lang w:val="es-CO"/>
        </w:rPr>
        <w:t>Esta unidad litológica está cubierta por depósitos aluviales tipo terrazas, resultados de los procesos erosivos que, a lo largo del tiempo, han generado la conformación general de las vegas de los ríos.</w:t>
      </w:r>
    </w:p>
    <w:p w:rsidR="00527B8C" w:rsidRDefault="00527B8C" w14:paraId="50F49604" w14:textId="77777777">
      <w:pPr>
        <w:spacing w:after="0" w:line="360" w:lineRule="auto"/>
        <w:ind w:firstLine="302" w:firstLineChars="126"/>
        <w:jc w:val="both"/>
        <w:rPr>
          <w:rFonts w:cs="Calibri"/>
          <w:sz w:val="24"/>
          <w:szCs w:val="24"/>
          <w:lang w:val="es-CO"/>
        </w:rPr>
      </w:pPr>
    </w:p>
    <w:p w:rsidR="00527B8C" w:rsidRDefault="00212A57" w14:paraId="522C060C" w14:textId="77777777">
      <w:pPr>
        <w:spacing w:after="0" w:line="360" w:lineRule="auto"/>
        <w:ind w:firstLine="302" w:firstLineChars="126"/>
        <w:jc w:val="both"/>
        <w:rPr>
          <w:rFonts w:cs="Calibri"/>
          <w:sz w:val="24"/>
          <w:szCs w:val="24"/>
        </w:rPr>
      </w:pPr>
      <w:r>
        <w:rPr>
          <w:rFonts w:cs="Calibri"/>
          <w:sz w:val="24"/>
          <w:szCs w:val="24"/>
        </w:rPr>
        <w:t xml:space="preserve">Se ha verificado la existencia de mineros de subsistencia formalizados en varios municipios del Putumayo. La consulta realizada el 11 de diciembre de 2025 en la plataforma Génesis de la ANM (Agencia Nacional de Minería) confirmó registros para la extracción de material de arrastre en Mocoa, Puerto Guzmán, Puerto Leguízamo, San Francisco y Villa Garzón. La información detallada sobre estos registros y las características de su formalización se presenta en la Tabla No. </w:t>
      </w:r>
      <w:r>
        <w:rPr>
          <w:rFonts w:cs="Calibri"/>
          <w:sz w:val="24"/>
          <w:szCs w:val="24"/>
          <w:lang w:val="es-CO"/>
        </w:rPr>
        <w:t>4</w:t>
      </w:r>
      <w:r>
        <w:rPr>
          <w:rFonts w:cs="Calibri"/>
          <w:sz w:val="24"/>
          <w:szCs w:val="24"/>
        </w:rPr>
        <w:t>.</w:t>
      </w:r>
    </w:p>
    <w:p w:rsidRPr="00C1168C" w:rsidR="00C1168C" w:rsidP="00C1168C" w:rsidRDefault="00C1168C" w14:paraId="3CBCCF37" w14:textId="43C2C2EB">
      <w:pPr>
        <w:pStyle w:val="Descripcin"/>
        <w:spacing w:after="160"/>
        <w:jc w:val="center"/>
        <w:rPr>
          <w:sz w:val="20"/>
          <w:szCs w:val="20"/>
        </w:rPr>
      </w:pPr>
      <w:bookmarkStart w:name="_Toc216558751" w:id="51"/>
      <w:r w:rsidRPr="00C1168C">
        <w:rPr>
          <w:sz w:val="20"/>
          <w:szCs w:val="20"/>
        </w:rPr>
        <w:t xml:space="preserve">Tabla </w:t>
      </w:r>
      <w:r w:rsidRPr="00C1168C">
        <w:rPr>
          <w:sz w:val="20"/>
          <w:szCs w:val="20"/>
        </w:rPr>
        <w:fldChar w:fldCharType="begin"/>
      </w:r>
      <w:r w:rsidRPr="00C1168C">
        <w:rPr>
          <w:sz w:val="20"/>
          <w:szCs w:val="20"/>
        </w:rPr>
        <w:instrText xml:space="preserve"> SEQ Tabla \* ARABIC </w:instrText>
      </w:r>
      <w:r w:rsidRPr="00C1168C">
        <w:rPr>
          <w:sz w:val="20"/>
          <w:szCs w:val="20"/>
        </w:rPr>
        <w:fldChar w:fldCharType="separate"/>
      </w:r>
      <w:r w:rsidR="00EE79CE">
        <w:rPr>
          <w:noProof/>
          <w:sz w:val="20"/>
          <w:szCs w:val="20"/>
        </w:rPr>
        <w:t>7</w:t>
      </w:r>
      <w:r w:rsidRPr="00C1168C">
        <w:rPr>
          <w:sz w:val="20"/>
          <w:szCs w:val="20"/>
        </w:rPr>
        <w:fldChar w:fldCharType="end"/>
      </w:r>
      <w:r w:rsidRPr="00C1168C">
        <w:rPr>
          <w:sz w:val="20"/>
          <w:szCs w:val="20"/>
        </w:rPr>
        <w:t xml:space="preserve">  Mineros de subsistencia en el departamento de Putumayo</w:t>
      </w:r>
      <w:bookmarkEnd w:id="51"/>
    </w:p>
    <w:tbl>
      <w:tblPr>
        <w:tblStyle w:val="Tablaconcuadrcula"/>
        <w:tblW w:w="0" w:type="auto"/>
        <w:jc w:val="center"/>
        <w:tblLook w:val="04A0" w:firstRow="1" w:lastRow="0" w:firstColumn="1" w:lastColumn="0" w:noHBand="0" w:noVBand="1"/>
      </w:tblPr>
      <w:tblGrid>
        <w:gridCol w:w="1004"/>
        <w:gridCol w:w="2505"/>
        <w:gridCol w:w="1388"/>
        <w:gridCol w:w="3210"/>
      </w:tblGrid>
      <w:tr w:rsidR="00527B8C" w14:paraId="07F5352D" w14:textId="77777777">
        <w:trPr>
          <w:trHeight w:val="300"/>
          <w:jc w:val="center"/>
        </w:trPr>
        <w:tc>
          <w:tcPr>
            <w:tcW w:w="1004" w:type="dxa"/>
            <w:tcBorders>
              <w:top w:val="single" w:color="auto" w:sz="8" w:space="0"/>
              <w:left w:val="single" w:color="auto" w:sz="8" w:space="0"/>
              <w:bottom w:val="single" w:color="auto" w:sz="8" w:space="0"/>
              <w:right w:val="single" w:color="auto" w:sz="8" w:space="0"/>
            </w:tcBorders>
            <w:shd w:val="clear" w:color="auto" w:fill="1B1F7D"/>
            <w:tcMar>
              <w:left w:w="108" w:type="dxa"/>
              <w:right w:w="108" w:type="dxa"/>
            </w:tcMar>
          </w:tcPr>
          <w:p w:rsidR="00527B8C" w:rsidRDefault="00212A57" w14:paraId="14A8F868" w14:textId="77777777">
            <w:pPr>
              <w:spacing w:after="0" w:line="360" w:lineRule="auto"/>
              <w:jc w:val="both"/>
              <w:rPr>
                <w:rFonts w:cs="Calibri"/>
                <w:b/>
                <w:bCs/>
                <w:sz w:val="24"/>
                <w:szCs w:val="24"/>
                <w:lang w:val="es"/>
              </w:rPr>
            </w:pPr>
            <w:r>
              <w:rPr>
                <w:rFonts w:cs="Calibri"/>
                <w:b/>
                <w:bCs/>
                <w:sz w:val="24"/>
                <w:szCs w:val="24"/>
                <w:lang w:val="es"/>
              </w:rPr>
              <w:t>ITEM</w:t>
            </w:r>
          </w:p>
        </w:tc>
        <w:tc>
          <w:tcPr>
            <w:tcW w:w="2505" w:type="dxa"/>
            <w:tcBorders>
              <w:top w:val="single" w:color="auto" w:sz="8" w:space="0"/>
              <w:left w:val="single" w:color="auto" w:sz="8" w:space="0"/>
              <w:bottom w:val="single" w:color="auto" w:sz="8" w:space="0"/>
              <w:right w:val="single" w:color="auto" w:sz="8" w:space="0"/>
            </w:tcBorders>
            <w:shd w:val="clear" w:color="auto" w:fill="1B1F7D"/>
            <w:tcMar>
              <w:left w:w="108" w:type="dxa"/>
              <w:right w:w="108" w:type="dxa"/>
            </w:tcMar>
          </w:tcPr>
          <w:p w:rsidR="00527B8C" w:rsidRDefault="00212A57" w14:paraId="314E6E4C" w14:textId="77777777">
            <w:pPr>
              <w:spacing w:after="0" w:line="360" w:lineRule="auto"/>
              <w:jc w:val="both"/>
              <w:rPr>
                <w:rFonts w:cs="Calibri"/>
                <w:b/>
                <w:bCs/>
                <w:sz w:val="24"/>
                <w:szCs w:val="24"/>
                <w:lang w:val="es"/>
              </w:rPr>
            </w:pPr>
            <w:r>
              <w:rPr>
                <w:rFonts w:cs="Calibri"/>
                <w:b/>
                <w:bCs/>
                <w:sz w:val="24"/>
                <w:szCs w:val="24"/>
                <w:lang w:val="es"/>
              </w:rPr>
              <w:t>CIUDAD</w:t>
            </w:r>
          </w:p>
        </w:tc>
        <w:tc>
          <w:tcPr>
            <w:tcW w:w="1388" w:type="dxa"/>
            <w:tcBorders>
              <w:top w:val="single" w:color="auto" w:sz="8" w:space="0"/>
              <w:left w:val="single" w:color="auto" w:sz="8" w:space="0"/>
              <w:bottom w:val="single" w:color="auto" w:sz="8" w:space="0"/>
              <w:right w:val="single" w:color="auto" w:sz="8" w:space="0"/>
            </w:tcBorders>
            <w:shd w:val="clear" w:color="auto" w:fill="1B1F7D"/>
            <w:tcMar>
              <w:left w:w="108" w:type="dxa"/>
              <w:right w:w="108" w:type="dxa"/>
            </w:tcMar>
          </w:tcPr>
          <w:p w:rsidR="00527B8C" w:rsidRDefault="00212A57" w14:paraId="28EA1C26" w14:textId="77777777">
            <w:pPr>
              <w:spacing w:after="0" w:line="360" w:lineRule="auto"/>
              <w:jc w:val="both"/>
              <w:rPr>
                <w:rFonts w:cs="Calibri"/>
                <w:b/>
                <w:bCs/>
                <w:sz w:val="24"/>
                <w:szCs w:val="24"/>
                <w:lang w:val="es"/>
              </w:rPr>
            </w:pPr>
            <w:r>
              <w:rPr>
                <w:rFonts w:cs="Calibri"/>
                <w:b/>
                <w:bCs/>
                <w:sz w:val="24"/>
                <w:szCs w:val="24"/>
                <w:lang w:val="es"/>
              </w:rPr>
              <w:t>CANTIDAD</w:t>
            </w:r>
          </w:p>
        </w:tc>
        <w:tc>
          <w:tcPr>
            <w:tcW w:w="3210" w:type="dxa"/>
            <w:tcBorders>
              <w:top w:val="single" w:color="auto" w:sz="8" w:space="0"/>
              <w:left w:val="single" w:color="auto" w:sz="8" w:space="0"/>
              <w:bottom w:val="single" w:color="auto" w:sz="8" w:space="0"/>
              <w:right w:val="single" w:color="auto" w:sz="8" w:space="0"/>
            </w:tcBorders>
            <w:shd w:val="clear" w:color="auto" w:fill="1B1F7D"/>
            <w:tcMar>
              <w:left w:w="108" w:type="dxa"/>
              <w:right w:w="108" w:type="dxa"/>
            </w:tcMar>
          </w:tcPr>
          <w:p w:rsidR="00527B8C" w:rsidRDefault="00212A57" w14:paraId="38469CAC" w14:textId="77777777">
            <w:pPr>
              <w:spacing w:after="0" w:line="360" w:lineRule="auto"/>
              <w:jc w:val="both"/>
              <w:rPr>
                <w:rFonts w:cs="Calibri"/>
                <w:b/>
                <w:bCs/>
                <w:sz w:val="24"/>
                <w:szCs w:val="24"/>
                <w:lang w:val="es"/>
              </w:rPr>
            </w:pPr>
            <w:r>
              <w:rPr>
                <w:rFonts w:cs="Calibri"/>
                <w:b/>
                <w:bCs/>
                <w:sz w:val="24"/>
                <w:szCs w:val="24"/>
                <w:lang w:val="es"/>
              </w:rPr>
              <w:t>MATERIAL</w:t>
            </w:r>
          </w:p>
        </w:tc>
      </w:tr>
      <w:tr w:rsidR="00527B8C" w14:paraId="6F7BCFE7" w14:textId="77777777">
        <w:trPr>
          <w:trHeight w:val="300"/>
          <w:jc w:val="center"/>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6505A5C9" w14:textId="77777777">
            <w:pPr>
              <w:spacing w:after="0" w:line="360" w:lineRule="auto"/>
              <w:jc w:val="both"/>
              <w:rPr>
                <w:rFonts w:cs="Calibri"/>
                <w:sz w:val="24"/>
                <w:szCs w:val="24"/>
                <w:lang w:val="es"/>
              </w:rPr>
            </w:pPr>
            <w:r>
              <w:rPr>
                <w:rFonts w:cs="Calibri"/>
                <w:sz w:val="24"/>
                <w:szCs w:val="24"/>
                <w:lang w:val="es"/>
              </w:rPr>
              <w:t xml:space="preserve"> 1</w:t>
            </w:r>
          </w:p>
        </w:tc>
        <w:tc>
          <w:tcPr>
            <w:tcW w:w="2505"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24B5F0D4" w14:textId="77777777">
            <w:pPr>
              <w:spacing w:after="0" w:line="360" w:lineRule="auto"/>
              <w:jc w:val="both"/>
              <w:rPr>
                <w:rFonts w:cs="Calibri"/>
                <w:sz w:val="24"/>
                <w:szCs w:val="24"/>
                <w:lang w:val="es"/>
              </w:rPr>
            </w:pPr>
            <w:r>
              <w:rPr>
                <w:rFonts w:cs="Calibri"/>
                <w:sz w:val="24"/>
                <w:szCs w:val="24"/>
                <w:lang w:val="es"/>
              </w:rPr>
              <w:t>Mocoa</w:t>
            </w:r>
          </w:p>
        </w:tc>
        <w:tc>
          <w:tcPr>
            <w:tcW w:w="1388"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72E4C290" w14:textId="77777777">
            <w:pPr>
              <w:spacing w:after="0" w:line="360" w:lineRule="auto"/>
              <w:jc w:val="both"/>
              <w:rPr>
                <w:rFonts w:cs="Calibri"/>
                <w:sz w:val="24"/>
                <w:szCs w:val="24"/>
                <w:lang w:val="es"/>
              </w:rPr>
            </w:pPr>
            <w:r>
              <w:rPr>
                <w:rFonts w:cs="Calibri"/>
                <w:sz w:val="24"/>
                <w:szCs w:val="24"/>
                <w:lang w:val="es"/>
              </w:rPr>
              <w:t>35</w:t>
            </w:r>
          </w:p>
        </w:tc>
        <w:tc>
          <w:tcPr>
            <w:tcW w:w="3210"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4D090E70" w14:textId="77777777">
            <w:pPr>
              <w:spacing w:after="0" w:line="360" w:lineRule="auto"/>
              <w:jc w:val="both"/>
              <w:rPr>
                <w:rFonts w:cs="Calibri"/>
                <w:color w:val="000000" w:themeColor="text1"/>
                <w:sz w:val="24"/>
                <w:szCs w:val="24"/>
                <w:lang w:val="es"/>
              </w:rPr>
            </w:pPr>
            <w:r>
              <w:rPr>
                <w:rFonts w:cs="Calibri"/>
                <w:color w:val="000000" w:themeColor="text1"/>
                <w:sz w:val="24"/>
                <w:szCs w:val="24"/>
                <w:lang w:val="es"/>
              </w:rPr>
              <w:t xml:space="preserve">Gravas de </w:t>
            </w:r>
            <w:r>
              <w:rPr>
                <w:rFonts w:cs="Calibri"/>
                <w:sz w:val="24"/>
                <w:szCs w:val="24"/>
              </w:rPr>
              <w:t>río y arena de río.</w:t>
            </w:r>
            <w:r>
              <w:rPr>
                <w:rFonts w:cs="Calibri"/>
                <w:color w:val="000000" w:themeColor="text1"/>
                <w:sz w:val="24"/>
                <w:szCs w:val="24"/>
                <w:lang w:val="es"/>
              </w:rPr>
              <w:t xml:space="preserve"> </w:t>
            </w:r>
          </w:p>
        </w:tc>
      </w:tr>
      <w:tr w:rsidR="00527B8C" w14:paraId="52AB8317" w14:textId="77777777">
        <w:trPr>
          <w:trHeight w:val="300"/>
          <w:jc w:val="center"/>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7BE3BC5D" w14:textId="77777777">
            <w:pPr>
              <w:spacing w:after="0" w:line="360" w:lineRule="auto"/>
              <w:jc w:val="both"/>
              <w:rPr>
                <w:rFonts w:cs="Calibri"/>
                <w:sz w:val="24"/>
                <w:szCs w:val="24"/>
                <w:lang w:val="es"/>
              </w:rPr>
            </w:pPr>
            <w:r>
              <w:rPr>
                <w:rFonts w:cs="Calibri"/>
                <w:sz w:val="24"/>
                <w:szCs w:val="24"/>
                <w:lang w:val="es"/>
              </w:rPr>
              <w:t xml:space="preserve"> 2</w:t>
            </w:r>
          </w:p>
        </w:tc>
        <w:tc>
          <w:tcPr>
            <w:tcW w:w="2505"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6ABE27E8" w14:textId="77777777">
            <w:pPr>
              <w:spacing w:after="0" w:line="360" w:lineRule="auto"/>
              <w:jc w:val="both"/>
              <w:rPr>
                <w:rFonts w:cs="Calibri"/>
                <w:sz w:val="24"/>
                <w:szCs w:val="24"/>
              </w:rPr>
            </w:pPr>
            <w:r>
              <w:rPr>
                <w:rFonts w:cs="Calibri"/>
                <w:sz w:val="24"/>
                <w:szCs w:val="24"/>
              </w:rPr>
              <w:t>Puerto Guzmán</w:t>
            </w:r>
          </w:p>
        </w:tc>
        <w:tc>
          <w:tcPr>
            <w:tcW w:w="1388"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1C0DCD52" w14:textId="77777777">
            <w:pPr>
              <w:spacing w:after="0" w:line="360" w:lineRule="auto"/>
              <w:jc w:val="both"/>
              <w:rPr>
                <w:rFonts w:cs="Calibri"/>
                <w:sz w:val="24"/>
                <w:szCs w:val="24"/>
                <w:lang w:val="es"/>
              </w:rPr>
            </w:pPr>
            <w:r>
              <w:rPr>
                <w:rFonts w:cs="Calibri"/>
                <w:sz w:val="24"/>
                <w:szCs w:val="24"/>
                <w:lang w:val="es"/>
              </w:rPr>
              <w:t xml:space="preserve"> 1</w:t>
            </w:r>
          </w:p>
        </w:tc>
        <w:tc>
          <w:tcPr>
            <w:tcW w:w="3210"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588A74B1" w14:textId="77777777">
            <w:pPr>
              <w:spacing w:after="0" w:line="360" w:lineRule="auto"/>
              <w:jc w:val="both"/>
              <w:rPr>
                <w:rFonts w:cs="Calibri"/>
                <w:color w:val="000000" w:themeColor="text1"/>
                <w:sz w:val="24"/>
                <w:szCs w:val="24"/>
                <w:lang w:val="es"/>
              </w:rPr>
            </w:pPr>
            <w:r>
              <w:rPr>
                <w:rFonts w:cs="Calibri"/>
                <w:color w:val="000000" w:themeColor="text1"/>
                <w:sz w:val="24"/>
                <w:szCs w:val="24"/>
                <w:lang w:val="es"/>
              </w:rPr>
              <w:t xml:space="preserve">Gravas de </w:t>
            </w:r>
            <w:r>
              <w:rPr>
                <w:rFonts w:cs="Calibri"/>
                <w:sz w:val="24"/>
                <w:szCs w:val="24"/>
              </w:rPr>
              <w:t>río y arena de río</w:t>
            </w:r>
          </w:p>
        </w:tc>
      </w:tr>
      <w:tr w:rsidR="00527B8C" w14:paraId="5A1011A4" w14:textId="77777777">
        <w:trPr>
          <w:trHeight w:val="300"/>
          <w:jc w:val="center"/>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18D0EC90" w14:textId="77777777">
            <w:pPr>
              <w:spacing w:after="0" w:line="360" w:lineRule="auto"/>
              <w:jc w:val="both"/>
              <w:rPr>
                <w:rFonts w:cs="Calibri"/>
                <w:sz w:val="24"/>
                <w:szCs w:val="24"/>
                <w:lang w:val="es"/>
              </w:rPr>
            </w:pPr>
            <w:r>
              <w:rPr>
                <w:rFonts w:cs="Calibri"/>
                <w:sz w:val="24"/>
                <w:szCs w:val="24"/>
                <w:lang w:val="es"/>
              </w:rPr>
              <w:t>3</w:t>
            </w:r>
          </w:p>
        </w:tc>
        <w:tc>
          <w:tcPr>
            <w:tcW w:w="2505"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221016AC" w14:textId="77777777">
            <w:pPr>
              <w:spacing w:after="0" w:line="360" w:lineRule="auto"/>
              <w:jc w:val="both"/>
              <w:rPr>
                <w:rFonts w:cs="Calibri"/>
                <w:sz w:val="24"/>
                <w:szCs w:val="24"/>
              </w:rPr>
            </w:pPr>
            <w:r>
              <w:rPr>
                <w:rFonts w:cs="Calibri"/>
                <w:sz w:val="24"/>
                <w:szCs w:val="24"/>
              </w:rPr>
              <w:t>Puerto Leguizamo</w:t>
            </w:r>
          </w:p>
        </w:tc>
        <w:tc>
          <w:tcPr>
            <w:tcW w:w="1388"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5E428D77" w14:textId="77777777">
            <w:pPr>
              <w:spacing w:after="0" w:line="360" w:lineRule="auto"/>
              <w:jc w:val="both"/>
              <w:rPr>
                <w:rFonts w:cs="Calibri"/>
                <w:sz w:val="24"/>
                <w:szCs w:val="24"/>
                <w:lang w:val="es"/>
              </w:rPr>
            </w:pPr>
            <w:r>
              <w:rPr>
                <w:rFonts w:cs="Calibri"/>
                <w:sz w:val="24"/>
                <w:szCs w:val="24"/>
                <w:lang w:val="es"/>
              </w:rPr>
              <w:t>10</w:t>
            </w:r>
          </w:p>
        </w:tc>
        <w:tc>
          <w:tcPr>
            <w:tcW w:w="3210"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3A39E4EC" w14:textId="77777777">
            <w:pPr>
              <w:spacing w:after="0" w:line="360" w:lineRule="auto"/>
              <w:jc w:val="both"/>
              <w:rPr>
                <w:rFonts w:cs="Calibri"/>
                <w:color w:val="000000" w:themeColor="text1"/>
                <w:sz w:val="24"/>
                <w:szCs w:val="24"/>
                <w:lang w:val="es"/>
              </w:rPr>
            </w:pPr>
            <w:r>
              <w:rPr>
                <w:rFonts w:cs="Calibri"/>
                <w:color w:val="000000" w:themeColor="text1"/>
                <w:sz w:val="24"/>
                <w:szCs w:val="24"/>
                <w:lang w:val="es"/>
              </w:rPr>
              <w:t xml:space="preserve">Gravas de </w:t>
            </w:r>
            <w:r>
              <w:rPr>
                <w:rFonts w:cs="Calibri"/>
                <w:sz w:val="24"/>
                <w:szCs w:val="24"/>
              </w:rPr>
              <w:t>río y arena de río</w:t>
            </w:r>
          </w:p>
        </w:tc>
      </w:tr>
      <w:tr w:rsidR="00527B8C" w14:paraId="1FFBCB85" w14:textId="77777777">
        <w:trPr>
          <w:trHeight w:val="300"/>
          <w:jc w:val="center"/>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3581AD9A" w14:textId="77777777">
            <w:pPr>
              <w:spacing w:after="0" w:line="360" w:lineRule="auto"/>
              <w:jc w:val="both"/>
              <w:rPr>
                <w:rFonts w:cs="Calibri"/>
                <w:sz w:val="24"/>
                <w:szCs w:val="24"/>
                <w:lang w:val="es"/>
              </w:rPr>
            </w:pPr>
            <w:r>
              <w:rPr>
                <w:rFonts w:cs="Calibri"/>
                <w:sz w:val="24"/>
                <w:szCs w:val="24"/>
                <w:lang w:val="es"/>
              </w:rPr>
              <w:t>4</w:t>
            </w:r>
          </w:p>
        </w:tc>
        <w:tc>
          <w:tcPr>
            <w:tcW w:w="2505"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4AEDAB6F" w14:textId="77777777">
            <w:pPr>
              <w:spacing w:after="0" w:line="360" w:lineRule="auto"/>
              <w:jc w:val="both"/>
              <w:rPr>
                <w:rFonts w:cs="Calibri"/>
                <w:sz w:val="24"/>
                <w:szCs w:val="24"/>
              </w:rPr>
            </w:pPr>
            <w:r>
              <w:rPr>
                <w:rFonts w:cs="Calibri"/>
                <w:sz w:val="24"/>
                <w:szCs w:val="24"/>
              </w:rPr>
              <w:t>San Francisco</w:t>
            </w:r>
          </w:p>
        </w:tc>
        <w:tc>
          <w:tcPr>
            <w:tcW w:w="1388"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1AD6ADE6" w14:textId="77777777">
            <w:pPr>
              <w:spacing w:after="0" w:line="360" w:lineRule="auto"/>
              <w:jc w:val="both"/>
              <w:rPr>
                <w:rFonts w:cs="Calibri"/>
                <w:sz w:val="24"/>
                <w:szCs w:val="24"/>
                <w:lang w:val="es"/>
              </w:rPr>
            </w:pPr>
            <w:r>
              <w:rPr>
                <w:rFonts w:cs="Calibri"/>
                <w:sz w:val="24"/>
                <w:szCs w:val="24"/>
                <w:lang w:val="es"/>
              </w:rPr>
              <w:t>2</w:t>
            </w:r>
          </w:p>
        </w:tc>
        <w:tc>
          <w:tcPr>
            <w:tcW w:w="3210"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38DA0B99" w14:textId="77777777">
            <w:pPr>
              <w:spacing w:after="0" w:line="360" w:lineRule="auto"/>
              <w:jc w:val="both"/>
              <w:rPr>
                <w:rFonts w:cs="Calibri"/>
                <w:color w:val="000000" w:themeColor="text1"/>
                <w:sz w:val="24"/>
                <w:szCs w:val="24"/>
                <w:lang w:val="es"/>
              </w:rPr>
            </w:pPr>
            <w:r>
              <w:rPr>
                <w:rFonts w:cs="Calibri"/>
                <w:color w:val="000000" w:themeColor="text1"/>
                <w:sz w:val="24"/>
                <w:szCs w:val="24"/>
                <w:lang w:val="es"/>
              </w:rPr>
              <w:t xml:space="preserve">Gravas de </w:t>
            </w:r>
            <w:r>
              <w:rPr>
                <w:rFonts w:cs="Calibri"/>
                <w:sz w:val="24"/>
                <w:szCs w:val="24"/>
              </w:rPr>
              <w:t>río y arena de río</w:t>
            </w:r>
          </w:p>
        </w:tc>
      </w:tr>
      <w:tr w:rsidR="00527B8C" w14:paraId="63BBBCA0" w14:textId="77777777">
        <w:trPr>
          <w:trHeight w:val="300"/>
          <w:jc w:val="center"/>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19BB661D" w14:textId="77777777">
            <w:pPr>
              <w:spacing w:after="0" w:line="360" w:lineRule="auto"/>
              <w:jc w:val="both"/>
              <w:rPr>
                <w:rFonts w:cs="Calibri"/>
                <w:sz w:val="24"/>
                <w:szCs w:val="24"/>
                <w:lang w:val="es"/>
              </w:rPr>
            </w:pPr>
            <w:r>
              <w:rPr>
                <w:rFonts w:cs="Calibri"/>
                <w:sz w:val="24"/>
                <w:szCs w:val="24"/>
                <w:lang w:val="es"/>
              </w:rPr>
              <w:t>5</w:t>
            </w:r>
          </w:p>
        </w:tc>
        <w:tc>
          <w:tcPr>
            <w:tcW w:w="2505"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4549343C" w14:textId="77777777">
            <w:pPr>
              <w:spacing w:after="0" w:line="360" w:lineRule="auto"/>
              <w:jc w:val="both"/>
              <w:rPr>
                <w:rFonts w:cs="Calibri"/>
                <w:sz w:val="24"/>
                <w:szCs w:val="24"/>
              </w:rPr>
            </w:pPr>
            <w:r>
              <w:rPr>
                <w:rFonts w:cs="Calibri"/>
                <w:sz w:val="24"/>
                <w:szCs w:val="24"/>
              </w:rPr>
              <w:t>Villagarzón</w:t>
            </w:r>
          </w:p>
        </w:tc>
        <w:tc>
          <w:tcPr>
            <w:tcW w:w="1388"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2465C980" w14:textId="77777777">
            <w:pPr>
              <w:spacing w:after="0" w:line="360" w:lineRule="auto"/>
              <w:jc w:val="both"/>
              <w:rPr>
                <w:rFonts w:cs="Calibri"/>
                <w:sz w:val="24"/>
                <w:szCs w:val="24"/>
                <w:lang w:val="es"/>
              </w:rPr>
            </w:pPr>
            <w:r>
              <w:rPr>
                <w:rFonts w:cs="Calibri"/>
                <w:sz w:val="24"/>
                <w:szCs w:val="24"/>
                <w:lang w:val="es"/>
              </w:rPr>
              <w:t>6</w:t>
            </w:r>
          </w:p>
        </w:tc>
        <w:tc>
          <w:tcPr>
            <w:tcW w:w="3210"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6FEFF5F5" w14:textId="77777777">
            <w:pPr>
              <w:spacing w:after="0" w:line="360" w:lineRule="auto"/>
              <w:jc w:val="both"/>
              <w:rPr>
                <w:rFonts w:cs="Calibri"/>
                <w:color w:val="000000" w:themeColor="text1"/>
                <w:sz w:val="24"/>
                <w:szCs w:val="24"/>
                <w:lang w:val="es"/>
              </w:rPr>
            </w:pPr>
            <w:r>
              <w:rPr>
                <w:rFonts w:cs="Calibri"/>
                <w:color w:val="000000" w:themeColor="text1"/>
                <w:sz w:val="24"/>
                <w:szCs w:val="24"/>
                <w:lang w:val="es"/>
              </w:rPr>
              <w:t xml:space="preserve">Gravas de </w:t>
            </w:r>
            <w:r>
              <w:rPr>
                <w:rFonts w:cs="Calibri"/>
                <w:sz w:val="24"/>
                <w:szCs w:val="24"/>
              </w:rPr>
              <w:t>río y arena de río</w:t>
            </w:r>
          </w:p>
        </w:tc>
      </w:tr>
    </w:tbl>
    <w:p w:rsidR="00527B8C" w:rsidRDefault="00527B8C" w14:paraId="34403372" w14:textId="77777777">
      <w:pPr>
        <w:spacing w:after="0" w:line="360" w:lineRule="auto"/>
        <w:jc w:val="both"/>
        <w:rPr>
          <w:rFonts w:cs="Calibri"/>
          <w:sz w:val="24"/>
          <w:szCs w:val="24"/>
          <w:lang w:val="es-CO"/>
        </w:rPr>
      </w:pPr>
    </w:p>
    <w:p w:rsidR="00527B8C" w:rsidRDefault="00527B8C" w14:paraId="1E0276C8" w14:textId="77777777">
      <w:pPr>
        <w:spacing w:after="0" w:line="360" w:lineRule="auto"/>
        <w:jc w:val="both"/>
        <w:rPr>
          <w:rFonts w:cs="Calibri"/>
          <w:sz w:val="24"/>
          <w:szCs w:val="24"/>
          <w:lang w:val="es-CO"/>
        </w:rPr>
      </w:pPr>
    </w:p>
    <w:p w:rsidRPr="00C1168C" w:rsidR="00C1168C" w:rsidP="00C1168C" w:rsidRDefault="00C1168C" w14:paraId="16D4E822" w14:textId="6ECB23CD">
      <w:pPr>
        <w:pStyle w:val="Descripcin"/>
        <w:spacing w:after="160"/>
        <w:jc w:val="center"/>
        <w:rPr>
          <w:sz w:val="20"/>
          <w:szCs w:val="20"/>
        </w:rPr>
      </w:pPr>
      <w:bookmarkStart w:name="_Toc216558733" w:id="52"/>
      <w:r w:rsidRPr="00C1168C">
        <w:rPr>
          <w:sz w:val="20"/>
          <w:szCs w:val="20"/>
        </w:rPr>
        <w:t xml:space="preserve">Mapa </w:t>
      </w:r>
      <w:r w:rsidRPr="00C1168C">
        <w:rPr>
          <w:sz w:val="20"/>
          <w:szCs w:val="20"/>
        </w:rPr>
        <w:fldChar w:fldCharType="begin"/>
      </w:r>
      <w:r w:rsidRPr="00C1168C">
        <w:rPr>
          <w:sz w:val="20"/>
          <w:szCs w:val="20"/>
        </w:rPr>
        <w:instrText xml:space="preserve"> SEQ Mapa \* ARABIC </w:instrText>
      </w:r>
      <w:r w:rsidRPr="00C1168C">
        <w:rPr>
          <w:sz w:val="20"/>
          <w:szCs w:val="20"/>
        </w:rPr>
        <w:fldChar w:fldCharType="separate"/>
      </w:r>
      <w:r w:rsidR="00EE79CE">
        <w:rPr>
          <w:noProof/>
          <w:sz w:val="20"/>
          <w:szCs w:val="20"/>
        </w:rPr>
        <w:t>5</w:t>
      </w:r>
      <w:r w:rsidRPr="00C1168C">
        <w:rPr>
          <w:sz w:val="20"/>
          <w:szCs w:val="20"/>
        </w:rPr>
        <w:fldChar w:fldCharType="end"/>
      </w:r>
      <w:r w:rsidRPr="00C1168C">
        <w:rPr>
          <w:sz w:val="20"/>
          <w:szCs w:val="20"/>
        </w:rPr>
        <w:t xml:space="preserve"> Extracción de material de arrastre en el departamento del Putumayo</w:t>
      </w:r>
      <w:bookmarkEnd w:id="52"/>
    </w:p>
    <w:p w:rsidR="00527B8C" w:rsidP="00590D90" w:rsidRDefault="00212A57" w14:paraId="3A7D4825" w14:textId="77777777">
      <w:pPr>
        <w:spacing w:after="0" w:line="360" w:lineRule="auto"/>
        <w:jc w:val="center"/>
      </w:pPr>
      <w:r>
        <w:rPr>
          <w:noProof/>
        </w:rPr>
        <w:drawing>
          <wp:inline distT="0" distB="0" distL="0" distR="0" wp14:anchorId="4B7FE42F" wp14:editId="0461B851">
            <wp:extent cx="5486400" cy="3638550"/>
            <wp:effectExtent l="38100" t="38100" r="38100" b="38100"/>
            <wp:docPr id="4273392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339251" name="drawing"/>
                    <pic:cNvPicPr>
                      <a:picLocks noChangeAspect="1"/>
                    </pic:cNvPicPr>
                  </pic:nvPicPr>
                  <pic:blipFill>
                    <a:blip r:embed="rId20"/>
                    <a:stretch>
                      <a:fillRect/>
                    </a:stretch>
                  </pic:blipFill>
                  <pic:spPr>
                    <a:xfrm>
                      <a:off x="0" y="0"/>
                      <a:ext cx="5486400" cy="3638550"/>
                    </a:xfrm>
                    <a:prstGeom prst="rect">
                      <a:avLst/>
                    </a:prstGeom>
                    <a:ln w="38100">
                      <a:solidFill>
                        <a:srgbClr val="002060"/>
                      </a:solidFill>
                    </a:ln>
                  </pic:spPr>
                </pic:pic>
              </a:graphicData>
            </a:graphic>
          </wp:inline>
        </w:drawing>
      </w:r>
    </w:p>
    <w:p w:rsidRPr="00C1168C" w:rsidR="00527B8C" w:rsidP="00590D90" w:rsidRDefault="00212A57" w14:paraId="73458449" w14:textId="77777777">
      <w:pPr>
        <w:spacing w:after="0" w:line="360" w:lineRule="auto"/>
        <w:jc w:val="center"/>
        <w:rPr>
          <w:rFonts w:cs="Calibri"/>
          <w:sz w:val="20"/>
          <w:szCs w:val="20"/>
          <w:lang w:val="es-CO"/>
        </w:rPr>
      </w:pPr>
      <w:r w:rsidRPr="00C1168C">
        <w:rPr>
          <w:rFonts w:cs="Calibri"/>
          <w:i/>
          <w:iCs/>
          <w:sz w:val="20"/>
          <w:szCs w:val="20"/>
          <w:lang w:val="es-CO"/>
        </w:rPr>
        <w:t>Fuente: Agencia Nacional de Minería ANM, 2025</w:t>
      </w:r>
    </w:p>
    <w:p w:rsidR="00590D90" w:rsidRDefault="00590D90" w14:paraId="33E1DB97" w14:textId="77777777">
      <w:pPr>
        <w:pStyle w:val="Ttulo3"/>
        <w:spacing w:before="0" w:line="360" w:lineRule="auto"/>
        <w:jc w:val="both"/>
        <w:rPr>
          <w:rFonts w:ascii="Calibri" w:hAnsi="Calibri" w:eastAsia="Calibri" w:cs="Calibri"/>
          <w:sz w:val="24"/>
          <w:szCs w:val="24"/>
          <w:lang w:val="es-CO"/>
        </w:rPr>
      </w:pPr>
    </w:p>
    <w:p w:rsidR="00527B8C" w:rsidRDefault="00212A57" w14:paraId="5074FFAD" w14:textId="396D5EFD">
      <w:pPr>
        <w:pStyle w:val="Ttulo3"/>
        <w:spacing w:before="0" w:line="360" w:lineRule="auto"/>
        <w:jc w:val="both"/>
        <w:rPr>
          <w:rFonts w:ascii="Calibri" w:hAnsi="Calibri" w:eastAsia="Calibri" w:cs="Calibri"/>
          <w:sz w:val="24"/>
          <w:szCs w:val="24"/>
          <w:lang w:val="es-CO"/>
        </w:rPr>
      </w:pPr>
      <w:bookmarkStart w:name="_Toc239779046" w:id="1830485484"/>
      <w:r w:rsidRPr="53DEF7DD" w:rsidR="670101B5">
        <w:rPr>
          <w:rFonts w:ascii="Calibri" w:hAnsi="Calibri" w:eastAsia="Calibri" w:cs="Calibri"/>
          <w:sz w:val="24"/>
          <w:szCs w:val="24"/>
          <w:lang w:val="es-CO"/>
        </w:rPr>
        <w:t>4.4.2. Volúmenes de Extracción</w:t>
      </w:r>
      <w:bookmarkEnd w:id="1830485484"/>
    </w:p>
    <w:p w:rsidR="00527B8C" w:rsidRDefault="00527B8C" w14:paraId="3381656B" w14:textId="77777777">
      <w:pPr>
        <w:spacing w:after="0" w:line="360" w:lineRule="auto"/>
        <w:ind w:left="720"/>
        <w:jc w:val="both"/>
        <w:rPr>
          <w:rFonts w:cs="Calibri"/>
          <w:b/>
          <w:bCs/>
          <w:sz w:val="24"/>
          <w:szCs w:val="24"/>
          <w:lang w:val="es-CO"/>
        </w:rPr>
      </w:pPr>
    </w:p>
    <w:p w:rsidR="00527B8C" w:rsidRDefault="00212A57" w14:paraId="061C7DFC" w14:textId="77777777">
      <w:pPr>
        <w:spacing w:after="0" w:line="360" w:lineRule="auto"/>
        <w:ind w:firstLine="302" w:firstLineChars="126"/>
        <w:jc w:val="both"/>
        <w:rPr>
          <w:rFonts w:cs="Calibri"/>
          <w:sz w:val="24"/>
          <w:szCs w:val="24"/>
          <w:lang w:val="es-CO"/>
        </w:rPr>
      </w:pPr>
      <w:r>
        <w:rPr>
          <w:rFonts w:cs="Calibri"/>
          <w:sz w:val="24"/>
          <w:szCs w:val="24"/>
          <w:lang w:val="es-CO"/>
        </w:rPr>
        <w:t xml:space="preserve">De acuerdo la Unidad de Planeación Minero-Energética (en adelante UPME) la cantidad de grava en el periodo 2016 – 2022, para la región Amazónica es la siguiente: </w:t>
      </w:r>
    </w:p>
    <w:p w:rsidR="00A103DE" w:rsidRDefault="00A103DE" w14:paraId="32910A73" w14:textId="77777777">
      <w:pPr>
        <w:spacing w:after="0" w:line="360" w:lineRule="auto"/>
        <w:ind w:firstLine="302" w:firstLineChars="126"/>
        <w:jc w:val="both"/>
        <w:rPr>
          <w:rFonts w:cs="Calibri"/>
          <w:sz w:val="24"/>
          <w:szCs w:val="24"/>
          <w:lang w:val="es-CO"/>
        </w:rPr>
      </w:pPr>
    </w:p>
    <w:p w:rsidRPr="00A103DE" w:rsidR="00A103DE" w:rsidP="00A103DE" w:rsidRDefault="00A103DE" w14:paraId="4BAE7268" w14:textId="15773DE7">
      <w:pPr>
        <w:pStyle w:val="Descripcin"/>
        <w:spacing w:after="160"/>
        <w:jc w:val="center"/>
        <w:rPr>
          <w:sz w:val="20"/>
          <w:szCs w:val="20"/>
        </w:rPr>
      </w:pPr>
      <w:bookmarkStart w:name="_Toc216558752" w:id="54"/>
      <w:r w:rsidRPr="00A103DE">
        <w:rPr>
          <w:sz w:val="20"/>
          <w:szCs w:val="20"/>
        </w:rPr>
        <w:t xml:space="preserve">Tabla </w:t>
      </w:r>
      <w:r w:rsidRPr="00A103DE">
        <w:rPr>
          <w:sz w:val="20"/>
          <w:szCs w:val="20"/>
        </w:rPr>
        <w:fldChar w:fldCharType="begin"/>
      </w:r>
      <w:r w:rsidRPr="00A103DE">
        <w:rPr>
          <w:sz w:val="20"/>
          <w:szCs w:val="20"/>
        </w:rPr>
        <w:instrText xml:space="preserve"> SEQ Tabla \* ARABIC </w:instrText>
      </w:r>
      <w:r w:rsidRPr="00A103DE">
        <w:rPr>
          <w:sz w:val="20"/>
          <w:szCs w:val="20"/>
        </w:rPr>
        <w:fldChar w:fldCharType="separate"/>
      </w:r>
      <w:r w:rsidR="00EE79CE">
        <w:rPr>
          <w:noProof/>
          <w:sz w:val="20"/>
          <w:szCs w:val="20"/>
        </w:rPr>
        <w:t>8</w:t>
      </w:r>
      <w:r w:rsidRPr="00A103DE">
        <w:rPr>
          <w:sz w:val="20"/>
          <w:szCs w:val="20"/>
        </w:rPr>
        <w:fldChar w:fldCharType="end"/>
      </w:r>
      <w:r w:rsidRPr="00A103DE">
        <w:rPr>
          <w:sz w:val="20"/>
          <w:szCs w:val="20"/>
        </w:rPr>
        <w:t xml:space="preserve"> Balance de producción de gravas en los departamentos periodo 2016-2022</w:t>
      </w:r>
      <w:bookmarkEnd w:id="54"/>
    </w:p>
    <w:tbl>
      <w:tblPr>
        <w:tblStyle w:val="Tablaconcuadrcula"/>
        <w:tblW w:w="8107" w:type="dxa"/>
        <w:jc w:val="center"/>
        <w:tblLook w:val="04A0" w:firstRow="1" w:lastRow="0" w:firstColumn="1" w:lastColumn="0" w:noHBand="0" w:noVBand="1"/>
      </w:tblPr>
      <w:tblGrid>
        <w:gridCol w:w="1004"/>
        <w:gridCol w:w="1755"/>
        <w:gridCol w:w="3666"/>
        <w:gridCol w:w="1682"/>
      </w:tblGrid>
      <w:tr w:rsidR="00527B8C" w14:paraId="2DAEE884" w14:textId="77777777">
        <w:trPr>
          <w:trHeight w:val="300"/>
          <w:jc w:val="center"/>
        </w:trPr>
        <w:tc>
          <w:tcPr>
            <w:tcW w:w="1004" w:type="dxa"/>
            <w:tcBorders>
              <w:top w:val="single" w:color="auto" w:sz="8" w:space="0"/>
              <w:left w:val="single" w:color="auto" w:sz="8" w:space="0"/>
              <w:bottom w:val="single" w:color="auto" w:sz="8" w:space="0"/>
              <w:right w:val="single" w:color="auto" w:sz="8" w:space="0"/>
            </w:tcBorders>
            <w:shd w:val="clear" w:color="auto" w:fill="1B1F7D"/>
            <w:tcMar>
              <w:left w:w="108" w:type="dxa"/>
              <w:right w:w="108" w:type="dxa"/>
            </w:tcMar>
          </w:tcPr>
          <w:p w:rsidR="00527B8C" w:rsidP="00590D90" w:rsidRDefault="00212A57" w14:paraId="7CA32746" w14:textId="77777777">
            <w:pPr>
              <w:spacing w:after="0" w:line="360" w:lineRule="auto"/>
              <w:jc w:val="center"/>
              <w:rPr>
                <w:rFonts w:cs="Calibri"/>
                <w:b/>
                <w:bCs/>
                <w:sz w:val="20"/>
                <w:szCs w:val="20"/>
                <w:lang w:val="es"/>
              </w:rPr>
            </w:pPr>
            <w:r>
              <w:rPr>
                <w:rFonts w:cs="Calibri"/>
                <w:b/>
                <w:bCs/>
                <w:sz w:val="20"/>
                <w:szCs w:val="20"/>
                <w:lang w:val="es"/>
              </w:rPr>
              <w:t>ITEM</w:t>
            </w:r>
          </w:p>
        </w:tc>
        <w:tc>
          <w:tcPr>
            <w:tcW w:w="1755" w:type="dxa"/>
            <w:tcBorders>
              <w:top w:val="single" w:color="auto" w:sz="8" w:space="0"/>
              <w:left w:val="single" w:color="auto" w:sz="8" w:space="0"/>
              <w:bottom w:val="single" w:color="auto" w:sz="8" w:space="0"/>
              <w:right w:val="single" w:color="auto" w:sz="8" w:space="0"/>
            </w:tcBorders>
            <w:shd w:val="clear" w:color="auto" w:fill="1B1F7D"/>
            <w:tcMar>
              <w:left w:w="108" w:type="dxa"/>
              <w:right w:w="108" w:type="dxa"/>
            </w:tcMar>
          </w:tcPr>
          <w:p w:rsidR="00527B8C" w:rsidP="00590D90" w:rsidRDefault="00212A57" w14:paraId="1A2691A2" w14:textId="77777777">
            <w:pPr>
              <w:spacing w:after="0" w:line="360" w:lineRule="auto"/>
              <w:jc w:val="center"/>
              <w:rPr>
                <w:rFonts w:cs="Calibri"/>
                <w:b/>
                <w:bCs/>
                <w:sz w:val="20"/>
                <w:szCs w:val="20"/>
                <w:lang w:val="es"/>
              </w:rPr>
            </w:pPr>
            <w:r>
              <w:rPr>
                <w:rFonts w:cs="Calibri"/>
                <w:b/>
                <w:bCs/>
                <w:sz w:val="20"/>
                <w:szCs w:val="20"/>
                <w:lang w:val="es"/>
              </w:rPr>
              <w:t>DEPARTAMENTO</w:t>
            </w:r>
          </w:p>
        </w:tc>
        <w:tc>
          <w:tcPr>
            <w:tcW w:w="3666" w:type="dxa"/>
            <w:tcBorders>
              <w:top w:val="single" w:color="auto" w:sz="8" w:space="0"/>
              <w:left w:val="single" w:color="auto" w:sz="8" w:space="0"/>
              <w:bottom w:val="single" w:color="auto" w:sz="8" w:space="0"/>
              <w:right w:val="single" w:color="auto" w:sz="8" w:space="0"/>
            </w:tcBorders>
            <w:shd w:val="clear" w:color="auto" w:fill="1B1F7D"/>
            <w:tcMar>
              <w:left w:w="108" w:type="dxa"/>
              <w:right w:w="108" w:type="dxa"/>
            </w:tcMar>
          </w:tcPr>
          <w:p w:rsidR="00527B8C" w:rsidP="00590D90" w:rsidRDefault="00212A57" w14:paraId="54ADA83A" w14:textId="77777777">
            <w:pPr>
              <w:spacing w:after="0" w:line="360" w:lineRule="auto"/>
              <w:jc w:val="center"/>
              <w:rPr>
                <w:rFonts w:cs="Calibri"/>
                <w:b/>
                <w:bCs/>
                <w:sz w:val="20"/>
                <w:szCs w:val="20"/>
                <w:lang w:val="es"/>
              </w:rPr>
            </w:pPr>
            <w:r>
              <w:rPr>
                <w:rFonts w:cs="Calibri"/>
                <w:b/>
                <w:bCs/>
                <w:sz w:val="20"/>
                <w:szCs w:val="20"/>
                <w:lang w:val="es"/>
              </w:rPr>
              <w:t>PRODUCCIÓN GRAVAS (m3) 2016 - 2022</w:t>
            </w:r>
          </w:p>
        </w:tc>
        <w:tc>
          <w:tcPr>
            <w:tcW w:w="1682" w:type="dxa"/>
            <w:tcBorders>
              <w:top w:val="single" w:color="auto" w:sz="8" w:space="0"/>
              <w:left w:val="single" w:color="auto" w:sz="8" w:space="0"/>
              <w:bottom w:val="single" w:color="auto" w:sz="8" w:space="0"/>
              <w:right w:val="single" w:color="auto" w:sz="8" w:space="0"/>
            </w:tcBorders>
            <w:shd w:val="clear" w:color="auto" w:fill="1B1F7D"/>
            <w:tcMar>
              <w:left w:w="108" w:type="dxa"/>
              <w:right w:w="108" w:type="dxa"/>
            </w:tcMar>
          </w:tcPr>
          <w:p w:rsidR="00527B8C" w:rsidP="00590D90" w:rsidRDefault="00212A57" w14:paraId="251B91A3" w14:textId="77777777">
            <w:pPr>
              <w:spacing w:after="0" w:line="360" w:lineRule="auto"/>
              <w:jc w:val="center"/>
              <w:rPr>
                <w:rFonts w:cs="Calibri"/>
                <w:b/>
                <w:bCs/>
                <w:sz w:val="20"/>
                <w:szCs w:val="20"/>
                <w:lang w:val="es"/>
              </w:rPr>
            </w:pPr>
            <w:r>
              <w:rPr>
                <w:rFonts w:cs="Calibri"/>
                <w:b/>
                <w:bCs/>
                <w:sz w:val="20"/>
                <w:szCs w:val="20"/>
                <w:lang w:val="es"/>
              </w:rPr>
              <w:t>PORCENTAJE %</w:t>
            </w:r>
          </w:p>
        </w:tc>
      </w:tr>
      <w:tr w:rsidR="00527B8C" w14:paraId="058DEE61" w14:textId="77777777">
        <w:trPr>
          <w:trHeight w:val="300"/>
          <w:jc w:val="center"/>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2A1AE2AD" w14:textId="77777777">
            <w:pPr>
              <w:spacing w:after="0" w:line="360" w:lineRule="auto"/>
              <w:jc w:val="both"/>
              <w:rPr>
                <w:rFonts w:cs="Calibri"/>
                <w:sz w:val="24"/>
                <w:szCs w:val="24"/>
                <w:lang w:val="es"/>
              </w:rPr>
            </w:pPr>
            <w:r>
              <w:rPr>
                <w:rFonts w:cs="Calibri"/>
                <w:sz w:val="24"/>
                <w:szCs w:val="24"/>
                <w:lang w:val="es"/>
              </w:rPr>
              <w:t xml:space="preserve"> 1</w:t>
            </w:r>
          </w:p>
        </w:tc>
        <w:tc>
          <w:tcPr>
            <w:tcW w:w="1755"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6476CEB4" w14:textId="77777777">
            <w:pPr>
              <w:spacing w:after="0" w:line="360" w:lineRule="auto"/>
              <w:jc w:val="both"/>
              <w:rPr>
                <w:rFonts w:cs="Calibri"/>
                <w:sz w:val="24"/>
                <w:szCs w:val="24"/>
                <w:lang w:val="es"/>
              </w:rPr>
            </w:pPr>
            <w:r>
              <w:rPr>
                <w:rFonts w:cs="Calibri"/>
                <w:sz w:val="24"/>
                <w:szCs w:val="24"/>
                <w:lang w:val="es"/>
              </w:rPr>
              <w:t>Caquetá</w:t>
            </w:r>
          </w:p>
        </w:tc>
        <w:tc>
          <w:tcPr>
            <w:tcW w:w="3666"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3CE4B0A6" w14:textId="77777777">
            <w:pPr>
              <w:spacing w:after="0" w:line="360" w:lineRule="auto"/>
              <w:jc w:val="both"/>
              <w:rPr>
                <w:rFonts w:cs="Calibri"/>
                <w:sz w:val="24"/>
                <w:szCs w:val="24"/>
                <w:lang w:val="es"/>
              </w:rPr>
            </w:pPr>
            <w:r>
              <w:rPr>
                <w:rFonts w:cs="Calibri"/>
                <w:sz w:val="24"/>
                <w:szCs w:val="24"/>
                <w:lang w:val="es"/>
              </w:rPr>
              <w:t>250.805</w:t>
            </w:r>
          </w:p>
        </w:tc>
        <w:tc>
          <w:tcPr>
            <w:tcW w:w="1682"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2C59A14E" w14:textId="77777777">
            <w:pPr>
              <w:spacing w:after="0" w:line="360" w:lineRule="auto"/>
              <w:jc w:val="both"/>
              <w:rPr>
                <w:rFonts w:cs="Calibri"/>
                <w:color w:val="000000" w:themeColor="text1"/>
                <w:sz w:val="24"/>
                <w:szCs w:val="24"/>
                <w:lang w:val="es"/>
              </w:rPr>
            </w:pPr>
            <w:r>
              <w:rPr>
                <w:rFonts w:cs="Calibri"/>
                <w:color w:val="000000" w:themeColor="text1"/>
                <w:sz w:val="24"/>
                <w:szCs w:val="24"/>
                <w:lang w:val="es"/>
              </w:rPr>
              <w:t>0,31</w:t>
            </w:r>
          </w:p>
        </w:tc>
      </w:tr>
      <w:tr w:rsidR="00527B8C" w14:paraId="007B23A3" w14:textId="77777777">
        <w:trPr>
          <w:trHeight w:val="300"/>
          <w:jc w:val="center"/>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30FEA5D4" w14:textId="77777777">
            <w:pPr>
              <w:spacing w:after="0" w:line="360" w:lineRule="auto"/>
              <w:jc w:val="both"/>
              <w:rPr>
                <w:rFonts w:cs="Calibri"/>
                <w:sz w:val="24"/>
                <w:szCs w:val="24"/>
                <w:lang w:val="es"/>
              </w:rPr>
            </w:pPr>
            <w:r>
              <w:rPr>
                <w:rFonts w:cs="Calibri"/>
                <w:sz w:val="24"/>
                <w:szCs w:val="24"/>
                <w:lang w:val="es"/>
              </w:rPr>
              <w:t xml:space="preserve"> 2</w:t>
            </w:r>
          </w:p>
        </w:tc>
        <w:tc>
          <w:tcPr>
            <w:tcW w:w="1755"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342C7E66" w14:textId="77777777">
            <w:pPr>
              <w:spacing w:after="0" w:line="360" w:lineRule="auto"/>
              <w:jc w:val="both"/>
              <w:rPr>
                <w:rFonts w:cs="Calibri"/>
                <w:sz w:val="24"/>
                <w:szCs w:val="24"/>
              </w:rPr>
            </w:pPr>
            <w:r>
              <w:rPr>
                <w:rFonts w:cs="Calibri"/>
                <w:sz w:val="24"/>
                <w:szCs w:val="24"/>
              </w:rPr>
              <w:t>Guainía</w:t>
            </w:r>
          </w:p>
        </w:tc>
        <w:tc>
          <w:tcPr>
            <w:tcW w:w="3666"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29F9D45D" w14:textId="77777777">
            <w:pPr>
              <w:spacing w:after="0" w:line="360" w:lineRule="auto"/>
              <w:jc w:val="both"/>
              <w:rPr>
                <w:rFonts w:cs="Calibri"/>
                <w:sz w:val="24"/>
                <w:szCs w:val="24"/>
                <w:lang w:val="es"/>
              </w:rPr>
            </w:pPr>
            <w:r>
              <w:rPr>
                <w:rFonts w:cs="Calibri"/>
                <w:sz w:val="24"/>
                <w:szCs w:val="24"/>
                <w:lang w:val="es"/>
              </w:rPr>
              <w:t>1.470</w:t>
            </w:r>
          </w:p>
        </w:tc>
        <w:tc>
          <w:tcPr>
            <w:tcW w:w="1682"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7054CE4C" w14:textId="77777777">
            <w:pPr>
              <w:spacing w:after="0" w:line="360" w:lineRule="auto"/>
              <w:jc w:val="both"/>
              <w:rPr>
                <w:rFonts w:cs="Calibri"/>
                <w:sz w:val="24"/>
                <w:szCs w:val="24"/>
              </w:rPr>
            </w:pPr>
            <w:r>
              <w:rPr>
                <w:rFonts w:cs="Calibri"/>
                <w:sz w:val="24"/>
                <w:szCs w:val="24"/>
              </w:rPr>
              <w:t>0%</w:t>
            </w:r>
          </w:p>
        </w:tc>
      </w:tr>
      <w:tr w:rsidR="00527B8C" w14:paraId="58E2A3C8" w14:textId="77777777">
        <w:trPr>
          <w:trHeight w:val="300"/>
          <w:jc w:val="center"/>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0F12D898" w14:textId="77777777">
            <w:pPr>
              <w:spacing w:after="0" w:line="360" w:lineRule="auto"/>
              <w:jc w:val="both"/>
              <w:rPr>
                <w:rFonts w:cs="Calibri"/>
                <w:sz w:val="24"/>
                <w:szCs w:val="24"/>
                <w:lang w:val="es"/>
              </w:rPr>
            </w:pPr>
            <w:r>
              <w:rPr>
                <w:rFonts w:cs="Calibri"/>
                <w:sz w:val="24"/>
                <w:szCs w:val="24"/>
                <w:lang w:val="es"/>
              </w:rPr>
              <w:t>3</w:t>
            </w:r>
          </w:p>
        </w:tc>
        <w:tc>
          <w:tcPr>
            <w:tcW w:w="1755"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610BF16C" w14:textId="77777777">
            <w:pPr>
              <w:spacing w:after="0" w:line="360" w:lineRule="auto"/>
              <w:jc w:val="both"/>
              <w:rPr>
                <w:rFonts w:cs="Calibri"/>
                <w:sz w:val="24"/>
                <w:szCs w:val="24"/>
              </w:rPr>
            </w:pPr>
            <w:r>
              <w:rPr>
                <w:rFonts w:cs="Calibri"/>
                <w:sz w:val="24"/>
                <w:szCs w:val="24"/>
              </w:rPr>
              <w:t>Putumayo</w:t>
            </w:r>
          </w:p>
        </w:tc>
        <w:tc>
          <w:tcPr>
            <w:tcW w:w="3666"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2239960A" w14:textId="77777777">
            <w:pPr>
              <w:spacing w:after="0" w:line="360" w:lineRule="auto"/>
              <w:jc w:val="both"/>
              <w:rPr>
                <w:rFonts w:cs="Calibri"/>
                <w:sz w:val="24"/>
                <w:szCs w:val="24"/>
                <w:lang w:val="es"/>
              </w:rPr>
            </w:pPr>
            <w:r>
              <w:rPr>
                <w:rFonts w:cs="Calibri"/>
                <w:sz w:val="24"/>
                <w:szCs w:val="24"/>
                <w:lang w:val="es"/>
              </w:rPr>
              <w:t>611.730</w:t>
            </w:r>
          </w:p>
        </w:tc>
        <w:tc>
          <w:tcPr>
            <w:tcW w:w="1682"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163DB8AE" w14:textId="77777777">
            <w:pPr>
              <w:spacing w:after="0" w:line="360" w:lineRule="auto"/>
              <w:jc w:val="both"/>
              <w:rPr>
                <w:rFonts w:cs="Calibri"/>
                <w:sz w:val="24"/>
                <w:szCs w:val="24"/>
              </w:rPr>
            </w:pPr>
            <w:r>
              <w:rPr>
                <w:rFonts w:cs="Calibri"/>
                <w:sz w:val="24"/>
                <w:szCs w:val="24"/>
              </w:rPr>
              <w:t>0,75%</w:t>
            </w:r>
          </w:p>
        </w:tc>
      </w:tr>
    </w:tbl>
    <w:p w:rsidRPr="00A103DE" w:rsidR="00527B8C" w:rsidP="00590D90" w:rsidRDefault="00212A57" w14:paraId="09B20ED2" w14:textId="7AB1F4DC">
      <w:pPr>
        <w:spacing w:line="360" w:lineRule="auto"/>
        <w:jc w:val="center"/>
        <w:rPr>
          <w:i/>
          <w:iCs/>
          <w:sz w:val="20"/>
          <w:szCs w:val="20"/>
          <w:lang w:val="es-CO"/>
        </w:rPr>
      </w:pPr>
      <w:r w:rsidRPr="00A103DE">
        <w:rPr>
          <w:i/>
          <w:iCs/>
          <w:sz w:val="20"/>
          <w:szCs w:val="20"/>
        </w:rPr>
        <w:t>Fuente</w:t>
      </w:r>
      <w:r w:rsidRPr="00A103DE">
        <w:rPr>
          <w:i/>
          <w:iCs/>
          <w:sz w:val="20"/>
          <w:szCs w:val="20"/>
          <w:lang w:val="es-CO"/>
        </w:rPr>
        <w:t>:  Unidad de Planeación Minero - Energética</w:t>
      </w:r>
      <w:r w:rsidRPr="00A103DE">
        <w:rPr>
          <w:i/>
          <w:iCs/>
          <w:sz w:val="20"/>
          <w:szCs w:val="20"/>
        </w:rPr>
        <w:t xml:space="preserve"> UPME</w:t>
      </w:r>
      <w:r w:rsidRPr="00A103DE">
        <w:rPr>
          <w:i/>
          <w:iCs/>
          <w:sz w:val="20"/>
          <w:szCs w:val="20"/>
          <w:lang w:val="es-CO"/>
        </w:rPr>
        <w:t>, 2016 - 2022</w:t>
      </w:r>
    </w:p>
    <w:p w:rsidR="00527B8C" w:rsidRDefault="00527B8C" w14:paraId="0EEF35A1" w14:textId="77777777">
      <w:pPr>
        <w:spacing w:line="360" w:lineRule="auto"/>
        <w:jc w:val="both"/>
        <w:rPr>
          <w:i/>
          <w:iCs/>
          <w:sz w:val="24"/>
          <w:szCs w:val="24"/>
          <w:lang w:val="es-CO"/>
        </w:rPr>
      </w:pPr>
    </w:p>
    <w:p w:rsidR="00527B8C" w:rsidRDefault="00212A57" w14:paraId="09E922D4" w14:textId="77777777">
      <w:pPr>
        <w:spacing w:after="0" w:line="360" w:lineRule="auto"/>
        <w:ind w:firstLine="302" w:firstLineChars="126"/>
        <w:jc w:val="both"/>
        <w:rPr>
          <w:rFonts w:cs="Calibri"/>
          <w:sz w:val="24"/>
          <w:szCs w:val="24"/>
          <w:lang w:val="es-CO"/>
        </w:rPr>
      </w:pPr>
      <w:r>
        <w:rPr>
          <w:rFonts w:cs="Calibri"/>
          <w:sz w:val="24"/>
          <w:szCs w:val="24"/>
          <w:lang w:val="es-CO"/>
        </w:rPr>
        <w:t xml:space="preserve">De acuerdo a la </w:t>
      </w:r>
      <w:r>
        <w:rPr>
          <w:sz w:val="24"/>
          <w:szCs w:val="24"/>
          <w:lang w:val="es-CO"/>
        </w:rPr>
        <w:t>Unidad de Planeación Minera - Energética</w:t>
      </w:r>
      <w:r>
        <w:rPr>
          <w:sz w:val="24"/>
          <w:szCs w:val="24"/>
        </w:rPr>
        <w:t xml:space="preserve"> </w:t>
      </w:r>
      <w:r>
        <w:rPr>
          <w:rFonts w:cs="Calibri"/>
          <w:sz w:val="24"/>
          <w:szCs w:val="24"/>
          <w:lang w:val="es-CO"/>
        </w:rPr>
        <w:t>UPME la cantidad de arena proveniente de material de arrastre en el periodo 2016 – 2022, para la Amazonía es la siguiente:</w:t>
      </w:r>
    </w:p>
    <w:p w:rsidR="00527B8C" w:rsidRDefault="00527B8C" w14:paraId="4FE9E17A" w14:textId="77777777">
      <w:pPr>
        <w:spacing w:after="0" w:line="360" w:lineRule="auto"/>
        <w:ind w:firstLine="302" w:firstLineChars="126"/>
        <w:jc w:val="both"/>
        <w:rPr>
          <w:rFonts w:cs="Calibri"/>
          <w:sz w:val="24"/>
          <w:szCs w:val="24"/>
          <w:lang w:val="es-CO"/>
        </w:rPr>
      </w:pPr>
    </w:p>
    <w:p w:rsidRPr="00A103DE" w:rsidR="00527B8C" w:rsidP="00A103DE" w:rsidRDefault="00A103DE" w14:paraId="5A7BE394" w14:textId="5C927B4E">
      <w:pPr>
        <w:pStyle w:val="Descripcin"/>
        <w:spacing w:after="160"/>
        <w:jc w:val="center"/>
        <w:rPr>
          <w:sz w:val="20"/>
          <w:szCs w:val="20"/>
          <w:lang w:val="es-CO"/>
        </w:rPr>
      </w:pPr>
      <w:bookmarkStart w:name="_Toc216558753" w:id="55"/>
      <w:r w:rsidRPr="00A103DE">
        <w:rPr>
          <w:sz w:val="20"/>
          <w:szCs w:val="20"/>
        </w:rPr>
        <w:t xml:space="preserve">Tabla </w:t>
      </w:r>
      <w:r w:rsidRPr="00A103DE">
        <w:rPr>
          <w:sz w:val="20"/>
          <w:szCs w:val="20"/>
        </w:rPr>
        <w:fldChar w:fldCharType="begin"/>
      </w:r>
      <w:r w:rsidRPr="00A103DE">
        <w:rPr>
          <w:sz w:val="20"/>
          <w:szCs w:val="20"/>
        </w:rPr>
        <w:instrText xml:space="preserve"> SEQ Tabla \* ARABIC </w:instrText>
      </w:r>
      <w:r w:rsidRPr="00A103DE">
        <w:rPr>
          <w:sz w:val="20"/>
          <w:szCs w:val="20"/>
        </w:rPr>
        <w:fldChar w:fldCharType="separate"/>
      </w:r>
      <w:r w:rsidR="00EE79CE">
        <w:rPr>
          <w:noProof/>
          <w:sz w:val="20"/>
          <w:szCs w:val="20"/>
        </w:rPr>
        <w:t>9</w:t>
      </w:r>
      <w:r w:rsidRPr="00A103DE">
        <w:rPr>
          <w:sz w:val="20"/>
          <w:szCs w:val="20"/>
        </w:rPr>
        <w:fldChar w:fldCharType="end"/>
      </w:r>
      <w:r w:rsidRPr="00A103DE">
        <w:rPr>
          <w:sz w:val="20"/>
          <w:szCs w:val="20"/>
        </w:rPr>
        <w:t xml:space="preserve"> Balance de producción de arena en los departamentos periodo 2016-2022</w:t>
      </w:r>
      <w:bookmarkEnd w:id="55"/>
    </w:p>
    <w:tbl>
      <w:tblPr>
        <w:tblStyle w:val="Tablaconcuadrcula"/>
        <w:tblW w:w="8107" w:type="dxa"/>
        <w:jc w:val="center"/>
        <w:tblLook w:val="04A0" w:firstRow="1" w:lastRow="0" w:firstColumn="1" w:lastColumn="0" w:noHBand="0" w:noVBand="1"/>
      </w:tblPr>
      <w:tblGrid>
        <w:gridCol w:w="1004"/>
        <w:gridCol w:w="1660"/>
        <w:gridCol w:w="3739"/>
        <w:gridCol w:w="1704"/>
      </w:tblGrid>
      <w:tr w:rsidR="00527B8C" w14:paraId="605B1597" w14:textId="77777777">
        <w:trPr>
          <w:trHeight w:val="300"/>
          <w:jc w:val="center"/>
        </w:trPr>
        <w:tc>
          <w:tcPr>
            <w:tcW w:w="1004" w:type="dxa"/>
            <w:tcBorders>
              <w:top w:val="single" w:color="auto" w:sz="8" w:space="0"/>
              <w:left w:val="single" w:color="auto" w:sz="8" w:space="0"/>
              <w:bottom w:val="single" w:color="auto" w:sz="8" w:space="0"/>
              <w:right w:val="single" w:color="auto" w:sz="8" w:space="0"/>
            </w:tcBorders>
            <w:shd w:val="clear" w:color="auto" w:fill="1B1F7D"/>
            <w:tcMar>
              <w:left w:w="108" w:type="dxa"/>
              <w:right w:w="108" w:type="dxa"/>
            </w:tcMar>
          </w:tcPr>
          <w:p w:rsidR="00527B8C" w:rsidRDefault="00212A57" w14:paraId="5DD691EF" w14:textId="77777777">
            <w:pPr>
              <w:spacing w:after="0" w:line="360" w:lineRule="auto"/>
              <w:jc w:val="both"/>
              <w:rPr>
                <w:rFonts w:cs="Calibri"/>
                <w:b/>
                <w:bCs/>
                <w:sz w:val="20"/>
                <w:szCs w:val="20"/>
                <w:lang w:val="es"/>
              </w:rPr>
            </w:pPr>
            <w:r>
              <w:rPr>
                <w:rFonts w:cs="Calibri"/>
                <w:b/>
                <w:bCs/>
                <w:sz w:val="20"/>
                <w:szCs w:val="20"/>
                <w:lang w:val="es"/>
              </w:rPr>
              <w:t>ITEM</w:t>
            </w:r>
          </w:p>
        </w:tc>
        <w:tc>
          <w:tcPr>
            <w:tcW w:w="1660" w:type="dxa"/>
            <w:tcBorders>
              <w:top w:val="single" w:color="auto" w:sz="8" w:space="0"/>
              <w:left w:val="single" w:color="auto" w:sz="8" w:space="0"/>
              <w:bottom w:val="single" w:color="auto" w:sz="8" w:space="0"/>
              <w:right w:val="single" w:color="auto" w:sz="8" w:space="0"/>
            </w:tcBorders>
            <w:shd w:val="clear" w:color="auto" w:fill="1B1F7D"/>
            <w:tcMar>
              <w:left w:w="108" w:type="dxa"/>
              <w:right w:w="108" w:type="dxa"/>
            </w:tcMar>
          </w:tcPr>
          <w:p w:rsidR="00527B8C" w:rsidRDefault="00212A57" w14:paraId="0BA9709E" w14:textId="77777777">
            <w:pPr>
              <w:spacing w:after="0" w:line="360" w:lineRule="auto"/>
              <w:jc w:val="both"/>
              <w:rPr>
                <w:rFonts w:cs="Calibri"/>
                <w:b/>
                <w:bCs/>
                <w:sz w:val="20"/>
                <w:szCs w:val="20"/>
                <w:lang w:val="es"/>
              </w:rPr>
            </w:pPr>
            <w:r>
              <w:rPr>
                <w:rFonts w:cs="Calibri"/>
                <w:b/>
                <w:bCs/>
                <w:sz w:val="20"/>
                <w:szCs w:val="20"/>
                <w:lang w:val="es"/>
              </w:rPr>
              <w:t>DEPARTAMENTO</w:t>
            </w:r>
          </w:p>
        </w:tc>
        <w:tc>
          <w:tcPr>
            <w:tcW w:w="3739" w:type="dxa"/>
            <w:tcBorders>
              <w:top w:val="single" w:color="auto" w:sz="8" w:space="0"/>
              <w:left w:val="single" w:color="auto" w:sz="8" w:space="0"/>
              <w:bottom w:val="single" w:color="auto" w:sz="8" w:space="0"/>
              <w:right w:val="single" w:color="auto" w:sz="8" w:space="0"/>
            </w:tcBorders>
            <w:shd w:val="clear" w:color="auto" w:fill="1B1F7D"/>
            <w:tcMar>
              <w:left w:w="108" w:type="dxa"/>
              <w:right w:w="108" w:type="dxa"/>
            </w:tcMar>
          </w:tcPr>
          <w:p w:rsidR="00527B8C" w:rsidRDefault="00212A57" w14:paraId="7E521B5C" w14:textId="77777777">
            <w:pPr>
              <w:spacing w:after="0" w:line="360" w:lineRule="auto"/>
              <w:jc w:val="both"/>
              <w:rPr>
                <w:rFonts w:cs="Calibri"/>
                <w:b/>
                <w:bCs/>
                <w:sz w:val="20"/>
                <w:szCs w:val="20"/>
                <w:lang w:val="es"/>
              </w:rPr>
            </w:pPr>
            <w:r>
              <w:rPr>
                <w:rFonts w:cs="Calibri"/>
                <w:b/>
                <w:bCs/>
                <w:sz w:val="20"/>
                <w:szCs w:val="20"/>
                <w:lang w:val="es"/>
              </w:rPr>
              <w:t>PRODUCCION ARENA (m3) 2016 - 2022</w:t>
            </w:r>
          </w:p>
        </w:tc>
        <w:tc>
          <w:tcPr>
            <w:tcW w:w="1704" w:type="dxa"/>
            <w:tcBorders>
              <w:top w:val="single" w:color="auto" w:sz="8" w:space="0"/>
              <w:left w:val="single" w:color="auto" w:sz="8" w:space="0"/>
              <w:bottom w:val="single" w:color="auto" w:sz="8" w:space="0"/>
              <w:right w:val="single" w:color="auto" w:sz="8" w:space="0"/>
            </w:tcBorders>
            <w:shd w:val="clear" w:color="auto" w:fill="1B1F7D"/>
            <w:tcMar>
              <w:left w:w="108" w:type="dxa"/>
              <w:right w:w="108" w:type="dxa"/>
            </w:tcMar>
          </w:tcPr>
          <w:p w:rsidR="00527B8C" w:rsidRDefault="00212A57" w14:paraId="2EF0A0F1" w14:textId="77777777">
            <w:pPr>
              <w:spacing w:after="0" w:line="360" w:lineRule="auto"/>
              <w:jc w:val="both"/>
              <w:rPr>
                <w:rFonts w:cs="Calibri"/>
                <w:b/>
                <w:bCs/>
                <w:color w:val="FFFFFF" w:themeColor="background1"/>
                <w:sz w:val="20"/>
                <w:szCs w:val="20"/>
                <w:lang w:val="es"/>
              </w:rPr>
            </w:pPr>
            <w:r>
              <w:rPr>
                <w:rFonts w:cs="Calibri"/>
                <w:b/>
                <w:bCs/>
                <w:color w:val="FFFFFF" w:themeColor="background1"/>
                <w:sz w:val="20"/>
                <w:szCs w:val="20"/>
                <w:lang w:val="es"/>
              </w:rPr>
              <w:t>PORCENTAJE %</w:t>
            </w:r>
          </w:p>
        </w:tc>
      </w:tr>
      <w:tr w:rsidR="00527B8C" w14:paraId="773FC6D3" w14:textId="77777777">
        <w:trPr>
          <w:trHeight w:val="300"/>
          <w:jc w:val="center"/>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21582C1B" w14:textId="77777777">
            <w:pPr>
              <w:spacing w:after="0" w:line="360" w:lineRule="auto"/>
              <w:jc w:val="both"/>
              <w:rPr>
                <w:rFonts w:cs="Calibri"/>
                <w:sz w:val="20"/>
                <w:szCs w:val="20"/>
                <w:lang w:val="es"/>
              </w:rPr>
            </w:pPr>
            <w:r>
              <w:rPr>
                <w:rFonts w:cs="Calibri"/>
                <w:sz w:val="20"/>
                <w:szCs w:val="20"/>
                <w:lang w:val="es"/>
              </w:rPr>
              <w:t xml:space="preserve"> 1</w:t>
            </w:r>
          </w:p>
        </w:tc>
        <w:tc>
          <w:tcPr>
            <w:tcW w:w="1660"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4EA0D103" w14:textId="77777777">
            <w:pPr>
              <w:spacing w:after="0" w:line="360" w:lineRule="auto"/>
              <w:jc w:val="both"/>
              <w:rPr>
                <w:rFonts w:cs="Calibri"/>
                <w:sz w:val="20"/>
                <w:szCs w:val="20"/>
                <w:lang w:val="es"/>
              </w:rPr>
            </w:pPr>
            <w:r>
              <w:rPr>
                <w:rFonts w:cs="Calibri"/>
                <w:sz w:val="20"/>
                <w:szCs w:val="20"/>
                <w:lang w:val="es"/>
              </w:rPr>
              <w:t>Caquetá</w:t>
            </w:r>
          </w:p>
        </w:tc>
        <w:tc>
          <w:tcPr>
            <w:tcW w:w="3739"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0A7F4BB1" w14:textId="77777777">
            <w:pPr>
              <w:spacing w:after="0" w:line="360" w:lineRule="auto"/>
              <w:jc w:val="both"/>
              <w:rPr>
                <w:rFonts w:cs="Calibri"/>
                <w:sz w:val="20"/>
                <w:szCs w:val="20"/>
                <w:lang w:val="es"/>
              </w:rPr>
            </w:pPr>
            <w:r>
              <w:rPr>
                <w:rFonts w:cs="Calibri"/>
                <w:sz w:val="20"/>
                <w:szCs w:val="20"/>
                <w:lang w:val="es"/>
              </w:rPr>
              <w:t>160.693</w:t>
            </w:r>
          </w:p>
        </w:tc>
        <w:tc>
          <w:tcPr>
            <w:tcW w:w="1704"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5087727B" w14:textId="77777777">
            <w:pPr>
              <w:spacing w:after="0" w:line="360" w:lineRule="auto"/>
              <w:jc w:val="both"/>
              <w:rPr>
                <w:rFonts w:cs="Calibri"/>
                <w:color w:val="000000" w:themeColor="text1"/>
                <w:sz w:val="20"/>
                <w:szCs w:val="20"/>
                <w:lang w:val="es"/>
              </w:rPr>
            </w:pPr>
            <w:r>
              <w:rPr>
                <w:rFonts w:cs="Calibri"/>
                <w:color w:val="000000" w:themeColor="text1"/>
                <w:sz w:val="20"/>
                <w:szCs w:val="20"/>
                <w:lang w:val="es"/>
              </w:rPr>
              <w:t>0,43%</w:t>
            </w:r>
          </w:p>
        </w:tc>
      </w:tr>
      <w:tr w:rsidR="00527B8C" w14:paraId="0F0FC6E9" w14:textId="77777777">
        <w:trPr>
          <w:trHeight w:val="300"/>
          <w:jc w:val="center"/>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64BB8D4D" w14:textId="77777777">
            <w:pPr>
              <w:spacing w:after="0" w:line="360" w:lineRule="auto"/>
              <w:jc w:val="both"/>
              <w:rPr>
                <w:rFonts w:cs="Calibri"/>
                <w:sz w:val="20"/>
                <w:szCs w:val="20"/>
                <w:lang w:val="es"/>
              </w:rPr>
            </w:pPr>
            <w:r>
              <w:rPr>
                <w:rFonts w:cs="Calibri"/>
                <w:sz w:val="20"/>
                <w:szCs w:val="20"/>
                <w:lang w:val="es"/>
              </w:rPr>
              <w:t xml:space="preserve"> 2</w:t>
            </w:r>
          </w:p>
        </w:tc>
        <w:tc>
          <w:tcPr>
            <w:tcW w:w="1660"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0A28BE88" w14:textId="77777777">
            <w:pPr>
              <w:spacing w:after="0" w:line="360" w:lineRule="auto"/>
              <w:jc w:val="both"/>
              <w:rPr>
                <w:rFonts w:cs="Calibri"/>
                <w:sz w:val="20"/>
                <w:szCs w:val="20"/>
              </w:rPr>
            </w:pPr>
            <w:r>
              <w:rPr>
                <w:rFonts w:cs="Calibri"/>
                <w:sz w:val="20"/>
                <w:szCs w:val="20"/>
              </w:rPr>
              <w:t>Guainía</w:t>
            </w:r>
          </w:p>
        </w:tc>
        <w:tc>
          <w:tcPr>
            <w:tcW w:w="3739"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58222F09" w14:textId="77777777">
            <w:pPr>
              <w:spacing w:after="0" w:line="360" w:lineRule="auto"/>
              <w:jc w:val="both"/>
              <w:rPr>
                <w:rFonts w:cs="Calibri"/>
                <w:sz w:val="20"/>
                <w:szCs w:val="20"/>
                <w:lang w:val="es"/>
              </w:rPr>
            </w:pPr>
            <w:r>
              <w:rPr>
                <w:rFonts w:cs="Calibri"/>
                <w:sz w:val="20"/>
                <w:szCs w:val="20"/>
                <w:lang w:val="es"/>
              </w:rPr>
              <w:t>630</w:t>
            </w:r>
          </w:p>
        </w:tc>
        <w:tc>
          <w:tcPr>
            <w:tcW w:w="1704"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32735EFC" w14:textId="77777777">
            <w:pPr>
              <w:spacing w:after="0" w:line="360" w:lineRule="auto"/>
              <w:jc w:val="both"/>
              <w:rPr>
                <w:rFonts w:cs="Calibri"/>
                <w:sz w:val="20"/>
                <w:szCs w:val="20"/>
              </w:rPr>
            </w:pPr>
            <w:r>
              <w:rPr>
                <w:rFonts w:cs="Calibri"/>
                <w:sz w:val="20"/>
                <w:szCs w:val="20"/>
              </w:rPr>
              <w:t>0.00%</w:t>
            </w:r>
          </w:p>
        </w:tc>
      </w:tr>
      <w:tr w:rsidR="00527B8C" w14:paraId="1D80D443" w14:textId="77777777">
        <w:trPr>
          <w:trHeight w:val="300"/>
          <w:jc w:val="center"/>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6B4E988E" w14:textId="77777777">
            <w:pPr>
              <w:spacing w:after="0" w:line="360" w:lineRule="auto"/>
              <w:jc w:val="both"/>
              <w:rPr>
                <w:rFonts w:cs="Calibri"/>
                <w:sz w:val="20"/>
                <w:szCs w:val="20"/>
                <w:lang w:val="es"/>
              </w:rPr>
            </w:pPr>
            <w:r>
              <w:rPr>
                <w:rFonts w:cs="Calibri"/>
                <w:sz w:val="20"/>
                <w:szCs w:val="20"/>
                <w:lang w:val="es"/>
              </w:rPr>
              <w:t>3</w:t>
            </w:r>
          </w:p>
        </w:tc>
        <w:tc>
          <w:tcPr>
            <w:tcW w:w="1660"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413F7D77" w14:textId="77777777">
            <w:pPr>
              <w:spacing w:after="0" w:line="360" w:lineRule="auto"/>
              <w:jc w:val="both"/>
              <w:rPr>
                <w:rFonts w:cs="Calibri"/>
                <w:sz w:val="20"/>
                <w:szCs w:val="20"/>
              </w:rPr>
            </w:pPr>
            <w:r>
              <w:rPr>
                <w:rFonts w:cs="Calibri"/>
                <w:sz w:val="20"/>
                <w:szCs w:val="20"/>
              </w:rPr>
              <w:t>Putumayo</w:t>
            </w:r>
          </w:p>
        </w:tc>
        <w:tc>
          <w:tcPr>
            <w:tcW w:w="3739"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3BBD1E10" w14:textId="77777777">
            <w:pPr>
              <w:spacing w:after="0" w:line="360" w:lineRule="auto"/>
              <w:jc w:val="both"/>
              <w:rPr>
                <w:rFonts w:cs="Calibri"/>
                <w:sz w:val="20"/>
                <w:szCs w:val="20"/>
                <w:lang w:val="es"/>
              </w:rPr>
            </w:pPr>
            <w:r>
              <w:rPr>
                <w:rFonts w:cs="Calibri"/>
                <w:sz w:val="20"/>
                <w:szCs w:val="20"/>
                <w:lang w:val="es"/>
              </w:rPr>
              <w:t>27.628</w:t>
            </w:r>
          </w:p>
        </w:tc>
        <w:tc>
          <w:tcPr>
            <w:tcW w:w="1704" w:type="dxa"/>
            <w:tcBorders>
              <w:top w:val="single" w:color="auto" w:sz="8" w:space="0"/>
              <w:left w:val="single" w:color="auto" w:sz="8" w:space="0"/>
              <w:bottom w:val="single" w:color="auto" w:sz="8" w:space="0"/>
              <w:right w:val="single" w:color="auto" w:sz="8" w:space="0"/>
            </w:tcBorders>
            <w:tcMar>
              <w:left w:w="108" w:type="dxa"/>
              <w:right w:w="108" w:type="dxa"/>
            </w:tcMar>
          </w:tcPr>
          <w:p w:rsidR="00527B8C" w:rsidRDefault="00212A57" w14:paraId="613731DD" w14:textId="77777777">
            <w:pPr>
              <w:spacing w:after="0" w:line="360" w:lineRule="auto"/>
              <w:jc w:val="both"/>
              <w:rPr>
                <w:rFonts w:cs="Calibri"/>
                <w:sz w:val="20"/>
                <w:szCs w:val="20"/>
              </w:rPr>
            </w:pPr>
            <w:r>
              <w:rPr>
                <w:rFonts w:cs="Calibri"/>
                <w:sz w:val="20"/>
                <w:szCs w:val="20"/>
              </w:rPr>
              <w:t>0,07%</w:t>
            </w:r>
          </w:p>
        </w:tc>
      </w:tr>
    </w:tbl>
    <w:p w:rsidRPr="00A103DE" w:rsidR="00527B8C" w:rsidP="00590D90" w:rsidRDefault="00212A57" w14:paraId="725BD42C" w14:textId="180BA74B">
      <w:pPr>
        <w:spacing w:line="360" w:lineRule="auto"/>
        <w:jc w:val="center"/>
        <w:rPr>
          <w:sz w:val="20"/>
          <w:szCs w:val="20"/>
          <w:lang w:val="es-CO"/>
        </w:rPr>
      </w:pPr>
      <w:r w:rsidRPr="00A103DE">
        <w:rPr>
          <w:i/>
          <w:iCs/>
          <w:sz w:val="20"/>
          <w:szCs w:val="20"/>
        </w:rPr>
        <w:t>Fuente</w:t>
      </w:r>
      <w:r w:rsidRPr="00A103DE">
        <w:rPr>
          <w:i/>
          <w:iCs/>
          <w:sz w:val="20"/>
          <w:szCs w:val="20"/>
          <w:lang w:val="es-CO"/>
        </w:rPr>
        <w:t>:  Unidad de Planeación Minero - Energética</w:t>
      </w:r>
      <w:r w:rsidRPr="00A103DE">
        <w:rPr>
          <w:i/>
          <w:iCs/>
          <w:sz w:val="20"/>
          <w:szCs w:val="20"/>
        </w:rPr>
        <w:t xml:space="preserve"> UPME</w:t>
      </w:r>
      <w:r w:rsidRPr="00A103DE">
        <w:rPr>
          <w:i/>
          <w:iCs/>
          <w:sz w:val="20"/>
          <w:szCs w:val="20"/>
          <w:lang w:val="es-CO"/>
        </w:rPr>
        <w:t>, 2016 - 2022</w:t>
      </w:r>
    </w:p>
    <w:p w:rsidR="00527B8C" w:rsidRDefault="00527B8C" w14:paraId="47E780EA" w14:textId="77777777">
      <w:pPr>
        <w:spacing w:line="360" w:lineRule="auto"/>
        <w:jc w:val="both"/>
      </w:pPr>
    </w:p>
    <w:p w:rsidR="00527B8C" w:rsidRDefault="00212A57" w14:paraId="17495E43" w14:textId="77777777">
      <w:pPr>
        <w:pStyle w:val="Ttulo3"/>
        <w:spacing w:before="0" w:line="360" w:lineRule="auto"/>
        <w:jc w:val="both"/>
        <w:rPr>
          <w:rFonts w:ascii="Calibri" w:hAnsi="Calibri" w:eastAsia="Calibri" w:cs="Calibri"/>
          <w:sz w:val="24"/>
          <w:szCs w:val="24"/>
          <w:lang w:val="es-CO"/>
        </w:rPr>
      </w:pPr>
      <w:bookmarkStart w:name="_Toc244216028" w:id="1056719547"/>
      <w:r w:rsidRPr="53DEF7DD" w:rsidR="670101B5">
        <w:rPr>
          <w:rFonts w:ascii="Calibri" w:hAnsi="Calibri" w:eastAsia="Calibri" w:cs="Calibri"/>
          <w:sz w:val="24"/>
          <w:szCs w:val="24"/>
          <w:lang w:val="es-CO"/>
        </w:rPr>
        <w:t>4.4.3. Técnicas Utilizadas</w:t>
      </w:r>
      <w:bookmarkEnd w:id="1056719547"/>
    </w:p>
    <w:p w:rsidR="00527B8C" w:rsidRDefault="00527B8C" w14:paraId="74B1EE3A" w14:textId="77777777">
      <w:pPr>
        <w:pStyle w:val="Ttulo3"/>
        <w:spacing w:before="0" w:line="360" w:lineRule="auto"/>
        <w:jc w:val="both"/>
        <w:rPr>
          <w:rFonts w:ascii="Calibri" w:hAnsi="Calibri" w:eastAsia="Calibri" w:cs="Calibri"/>
          <w:sz w:val="24"/>
          <w:szCs w:val="24"/>
          <w:lang w:val="es-CO"/>
        </w:rPr>
      </w:pPr>
    </w:p>
    <w:p w:rsidR="00527B8C" w:rsidRDefault="00212A57" w14:paraId="690D289F" w14:textId="77777777">
      <w:pPr>
        <w:pStyle w:val="Ttulo3"/>
        <w:spacing w:before="0" w:line="360" w:lineRule="auto"/>
        <w:jc w:val="both"/>
        <w:rPr>
          <w:rFonts w:ascii="Calibri" w:hAnsi="Calibri" w:eastAsia="Calibri" w:cs="Calibri"/>
          <w:sz w:val="24"/>
          <w:szCs w:val="24"/>
          <w:lang w:val="es-CO"/>
        </w:rPr>
      </w:pPr>
      <w:bookmarkStart w:name="_Toc1511262677" w:id="144516825"/>
      <w:r w:rsidRPr="53DEF7DD" w:rsidR="670101B5">
        <w:rPr>
          <w:rFonts w:ascii="Calibri" w:hAnsi="Calibri" w:eastAsia="Calibri" w:cs="Calibri"/>
          <w:sz w:val="24"/>
          <w:szCs w:val="24"/>
          <w:lang w:val="es-CO"/>
        </w:rPr>
        <w:t>4.4.3.1 Clasificación técnica minera.</w:t>
      </w:r>
      <w:bookmarkEnd w:id="144516825"/>
      <w:r w:rsidRPr="53DEF7DD" w:rsidR="670101B5">
        <w:rPr>
          <w:rFonts w:ascii="Calibri" w:hAnsi="Calibri" w:eastAsia="Calibri" w:cs="Calibri"/>
          <w:sz w:val="24"/>
          <w:szCs w:val="24"/>
          <w:lang w:val="es-CO"/>
        </w:rPr>
        <w:t xml:space="preserve"> </w:t>
      </w:r>
    </w:p>
    <w:p w:rsidR="00527B8C" w:rsidRDefault="00527B8C" w14:paraId="38DC37D9" w14:textId="77777777">
      <w:pPr>
        <w:spacing w:after="0" w:line="360" w:lineRule="auto"/>
        <w:jc w:val="both"/>
        <w:rPr>
          <w:rFonts w:asciiTheme="majorHAnsi" w:hAnsiTheme="majorHAnsi" w:eastAsiaTheme="majorEastAsia" w:cstheme="majorBidi"/>
          <w:color w:val="000000" w:themeColor="text1"/>
        </w:rPr>
      </w:pPr>
    </w:p>
    <w:p w:rsidR="00527B8C" w:rsidRDefault="00212A57" w14:paraId="735762BC" w14:textId="77777777">
      <w:pPr>
        <w:spacing w:after="0" w:line="360" w:lineRule="auto"/>
        <w:ind w:firstLine="302" w:firstLineChars="126"/>
        <w:jc w:val="both"/>
        <w:rPr>
          <w:rFonts w:asciiTheme="majorHAnsi" w:hAnsiTheme="majorHAnsi" w:eastAsiaTheme="majorEastAsia" w:cstheme="majorBidi"/>
          <w:color w:val="000000" w:themeColor="text1"/>
          <w:sz w:val="24"/>
          <w:szCs w:val="24"/>
        </w:rPr>
      </w:pPr>
      <w:r>
        <w:rPr>
          <w:rFonts w:asciiTheme="majorHAnsi" w:hAnsiTheme="majorHAnsi" w:eastAsiaTheme="majorEastAsia" w:cstheme="majorBidi"/>
          <w:color w:val="000000" w:themeColor="text1"/>
          <w:sz w:val="24"/>
          <w:szCs w:val="24"/>
        </w:rPr>
        <w:t>En el Articulo 2.2.5.1.5.5 clasificación de la minería a pequeña, mediana y gran escala en etapa de explotación, del Decreto 1666 del 21 de octubre de 2016, se hace una clasificación de explotaciones de materiales de construcción, así para mediana minería se toma hasta 350.000 m³ anuales de producción. Los títulos mineros que se encuentran en la Amazonia se clasifican como pequeña minería.</w:t>
      </w:r>
    </w:p>
    <w:p w:rsidR="00527B8C" w:rsidRDefault="00527B8C" w14:paraId="7A73BD81" w14:textId="77777777">
      <w:pPr>
        <w:spacing w:after="0" w:line="360" w:lineRule="auto"/>
        <w:ind w:firstLine="302" w:firstLineChars="126"/>
        <w:jc w:val="both"/>
        <w:rPr>
          <w:rFonts w:asciiTheme="majorHAnsi" w:hAnsiTheme="majorHAnsi" w:eastAsiaTheme="majorEastAsia" w:cstheme="majorBidi"/>
          <w:color w:val="000000" w:themeColor="text1"/>
          <w:sz w:val="24"/>
          <w:szCs w:val="24"/>
        </w:rPr>
      </w:pPr>
    </w:p>
    <w:p w:rsidR="00527B8C" w:rsidRDefault="00212A57" w14:paraId="4539FDC4" w14:textId="77777777">
      <w:pPr>
        <w:spacing w:after="0" w:line="360" w:lineRule="auto"/>
        <w:ind w:firstLine="302" w:firstLineChars="126"/>
        <w:jc w:val="both"/>
        <w:rPr>
          <w:rFonts w:asciiTheme="majorHAnsi" w:hAnsiTheme="majorHAnsi" w:eastAsiaTheme="majorEastAsia" w:cstheme="majorBidi"/>
          <w:sz w:val="24"/>
          <w:szCs w:val="24"/>
          <w:lang w:val="es"/>
        </w:rPr>
      </w:pPr>
      <w:r>
        <w:rPr>
          <w:rFonts w:asciiTheme="majorHAnsi" w:hAnsiTheme="majorHAnsi" w:eastAsiaTheme="majorEastAsia" w:cstheme="majorBidi"/>
          <w:sz w:val="24"/>
          <w:szCs w:val="24"/>
          <w:lang w:val="es"/>
        </w:rPr>
        <w:t>Las explotaciones de material de arrastre en la Amazonía son a cielo abierto, se analiza los métodos que existen para la extracción de arenas y gravas de los ríos.</w:t>
      </w:r>
    </w:p>
    <w:p w:rsidR="00527B8C" w:rsidRDefault="00527B8C" w14:paraId="5CC92470" w14:textId="77777777">
      <w:pPr>
        <w:spacing w:after="0" w:line="360" w:lineRule="auto"/>
        <w:ind w:firstLine="302" w:firstLineChars="126"/>
        <w:jc w:val="both"/>
        <w:rPr>
          <w:rFonts w:asciiTheme="majorHAnsi" w:hAnsiTheme="majorHAnsi" w:eastAsiaTheme="majorEastAsia" w:cstheme="majorBidi"/>
          <w:sz w:val="24"/>
          <w:szCs w:val="24"/>
          <w:lang w:val="es"/>
        </w:rPr>
      </w:pPr>
    </w:p>
    <w:p w:rsidR="00527B8C" w:rsidRDefault="00212A57" w14:paraId="2B87CD88" w14:textId="77777777">
      <w:pPr>
        <w:spacing w:after="160" w:line="360" w:lineRule="auto"/>
        <w:ind w:firstLine="302" w:firstLineChars="126"/>
        <w:jc w:val="both"/>
        <w:rPr>
          <w:rFonts w:cs="Calibri"/>
          <w:sz w:val="24"/>
          <w:szCs w:val="24"/>
        </w:rPr>
      </w:pPr>
      <w:r>
        <w:rPr>
          <w:rFonts w:cs="Calibri"/>
          <w:sz w:val="24"/>
          <w:szCs w:val="24"/>
        </w:rPr>
        <w:t>Es fundamental implementar un método de explotación técnicamente adecuado, en plena armonía con las condiciones del río y que asegure la mitigación de los daños ambientales.</w:t>
      </w:r>
      <w:r>
        <w:rPr>
          <w:rFonts w:asciiTheme="majorHAnsi" w:hAnsiTheme="majorHAnsi" w:eastAsiaTheme="majorEastAsia" w:cstheme="majorBidi"/>
          <w:sz w:val="24"/>
          <w:szCs w:val="24"/>
        </w:rPr>
        <w:t xml:space="preserve"> </w:t>
      </w:r>
      <w:r>
        <w:rPr>
          <w:rFonts w:cs="Calibri"/>
          <w:sz w:val="24"/>
          <w:szCs w:val="24"/>
        </w:rPr>
        <w:t xml:space="preserve"> Considerando que la extracción se focaliza en las áreas de acumulación o recarga de material durante las crecidas fluviales (conocidas como playones de depósito), se mencionan como alternativas dos métodos de explotación: el método de franjas sucesivas o continuo y la implementación de dársenas o piscinas transversales.</w:t>
      </w:r>
    </w:p>
    <w:p w:rsidR="00527B8C" w:rsidRDefault="00212A57" w14:paraId="13E4A304" w14:textId="77777777">
      <w:pPr>
        <w:spacing w:after="0" w:line="360" w:lineRule="auto"/>
        <w:ind w:firstLine="302" w:firstLineChars="126"/>
        <w:jc w:val="both"/>
        <w:rPr>
          <w:rFonts w:asciiTheme="majorHAnsi" w:hAnsiTheme="majorHAnsi" w:eastAsiaTheme="majorEastAsia" w:cstheme="majorBidi"/>
          <w:sz w:val="24"/>
          <w:szCs w:val="24"/>
        </w:rPr>
      </w:pPr>
      <w:r>
        <w:rPr>
          <w:rFonts w:asciiTheme="majorHAnsi" w:hAnsiTheme="majorHAnsi" w:eastAsiaTheme="majorEastAsia" w:cstheme="majorBidi"/>
          <w:sz w:val="24"/>
          <w:szCs w:val="24"/>
        </w:rPr>
        <w:t xml:space="preserve">Se garantizará una recuperación gradual del área explotada y se contribuirá al control de efectos negativos contra las márgenes, eliminado acumulaciones de sedimentos que puedan desviar su curso. </w:t>
      </w:r>
    </w:p>
    <w:p w:rsidR="00527B8C" w:rsidRDefault="00527B8C" w14:paraId="454E844E" w14:textId="77777777">
      <w:pPr>
        <w:spacing w:after="0" w:line="360" w:lineRule="auto"/>
        <w:ind w:firstLine="302" w:firstLineChars="126"/>
        <w:jc w:val="both"/>
        <w:rPr>
          <w:rFonts w:asciiTheme="majorHAnsi" w:hAnsiTheme="majorHAnsi" w:eastAsiaTheme="majorEastAsia" w:cstheme="majorBidi"/>
          <w:sz w:val="24"/>
          <w:szCs w:val="24"/>
        </w:rPr>
      </w:pPr>
    </w:p>
    <w:p w:rsidRPr="00590D90" w:rsidR="00527B8C" w:rsidRDefault="00212A57" w14:paraId="7036727C" w14:textId="77777777">
      <w:pPr>
        <w:spacing w:after="0" w:line="360" w:lineRule="auto"/>
        <w:ind w:firstLine="304" w:firstLineChars="126"/>
        <w:jc w:val="both"/>
        <w:rPr>
          <w:rFonts w:asciiTheme="majorHAnsi" w:hAnsiTheme="majorHAnsi" w:eastAsiaTheme="majorEastAsia" w:cstheme="majorBidi"/>
          <w:b/>
          <w:bCs/>
          <w:color w:val="4F81BD" w:themeColor="accent1"/>
          <w:sz w:val="24"/>
          <w:szCs w:val="24"/>
          <w:lang w:val="es-MX"/>
        </w:rPr>
      </w:pPr>
      <w:r w:rsidRPr="00590D90">
        <w:rPr>
          <w:rFonts w:asciiTheme="majorHAnsi" w:hAnsiTheme="majorHAnsi" w:eastAsiaTheme="majorEastAsia" w:cstheme="majorBidi"/>
          <w:b/>
          <w:bCs/>
          <w:color w:val="4F81BD" w:themeColor="accent1"/>
          <w:sz w:val="24"/>
          <w:szCs w:val="24"/>
          <w:lang w:val="es-MX"/>
        </w:rPr>
        <w:t>Explotación franjas sucesivas o método continuo.</w:t>
      </w:r>
    </w:p>
    <w:p w:rsidR="00527B8C" w:rsidRDefault="00527B8C" w14:paraId="73D2EA31" w14:textId="77777777">
      <w:pPr>
        <w:spacing w:after="0" w:line="360" w:lineRule="auto"/>
        <w:ind w:firstLine="278" w:firstLineChars="126"/>
        <w:jc w:val="both"/>
        <w:rPr>
          <w:rFonts w:asciiTheme="majorHAnsi" w:hAnsiTheme="majorHAnsi" w:eastAsiaTheme="majorEastAsia" w:cstheme="majorBidi"/>
          <w:b/>
          <w:bCs/>
          <w:lang w:val="es-MX"/>
        </w:rPr>
      </w:pPr>
    </w:p>
    <w:p w:rsidR="00527B8C" w:rsidRDefault="00212A57" w14:paraId="7D6F5069" w14:textId="77777777">
      <w:pPr>
        <w:spacing w:after="0" w:line="360" w:lineRule="auto"/>
        <w:ind w:firstLine="302" w:firstLineChars="126"/>
        <w:jc w:val="both"/>
        <w:rPr>
          <w:rFonts w:cs="Calibri"/>
          <w:sz w:val="24"/>
          <w:szCs w:val="24"/>
          <w:lang w:val="es-MX"/>
        </w:rPr>
      </w:pPr>
      <w:r>
        <w:rPr>
          <w:rFonts w:ascii="Arial" w:hAnsi="Arial" w:eastAsia="Arial" w:cs="Arial"/>
          <w:sz w:val="24"/>
          <w:szCs w:val="24"/>
          <w:lang w:val="es-MX"/>
        </w:rPr>
        <w:t xml:space="preserve">El </w:t>
      </w:r>
      <w:r>
        <w:rPr>
          <w:rFonts w:asciiTheme="majorHAnsi" w:hAnsiTheme="majorHAnsi" w:eastAsiaTheme="majorEastAsia" w:cstheme="majorBidi"/>
          <w:sz w:val="24"/>
          <w:szCs w:val="24"/>
          <w:lang w:val="es-MX"/>
        </w:rPr>
        <w:t xml:space="preserve">sentido de explotación </w:t>
      </w:r>
      <w:r>
        <w:rPr>
          <w:rFonts w:cs="Calibri"/>
          <w:sz w:val="24"/>
          <w:szCs w:val="24"/>
          <w:lang w:val="es-MX"/>
        </w:rPr>
        <w:t xml:space="preserve">debe definirse en sentido de </w:t>
      </w:r>
      <w:r>
        <w:rPr>
          <w:rFonts w:cs="Calibri"/>
          <w:b/>
          <w:bCs/>
          <w:sz w:val="24"/>
          <w:szCs w:val="24"/>
          <w:lang w:val="es-MX"/>
        </w:rPr>
        <w:t>aguas abajo - hacia aguas arriba</w:t>
      </w:r>
      <w:r>
        <w:rPr>
          <w:rFonts w:asciiTheme="majorHAnsi" w:hAnsiTheme="majorHAnsi" w:eastAsiaTheme="majorEastAsia" w:cstheme="majorBidi"/>
          <w:sz w:val="24"/>
          <w:szCs w:val="24"/>
          <w:lang w:val="es-MX"/>
        </w:rPr>
        <w:t xml:space="preserve"> con el fin de evitar el socavamiento y erosión, </w:t>
      </w:r>
      <w:r>
        <w:rPr>
          <w:rFonts w:cs="Calibri"/>
          <w:sz w:val="24"/>
          <w:szCs w:val="24"/>
          <w:lang w:val="es-MX"/>
        </w:rPr>
        <w:t>especialmente durante los periodos de crecida invernal</w:t>
      </w:r>
      <w:r>
        <w:rPr>
          <w:rFonts w:asciiTheme="majorHAnsi" w:hAnsiTheme="majorHAnsi" w:eastAsiaTheme="majorEastAsia" w:cstheme="majorBidi"/>
          <w:sz w:val="24"/>
          <w:szCs w:val="24"/>
          <w:lang w:val="es-MX"/>
        </w:rPr>
        <w:t xml:space="preserve">, épocas vitales para la recarga de material del río. Durante la fase de extracción de material </w:t>
      </w:r>
      <w:r>
        <w:rPr>
          <w:rFonts w:cs="Calibri"/>
          <w:sz w:val="24"/>
          <w:szCs w:val="24"/>
          <w:lang w:val="es-MX"/>
        </w:rPr>
        <w:t xml:space="preserve">el objetivo será </w:t>
      </w:r>
      <w:r>
        <w:rPr>
          <w:rFonts w:cs="Calibri"/>
          <w:b/>
          <w:bCs/>
          <w:sz w:val="24"/>
          <w:szCs w:val="24"/>
          <w:lang w:val="es-MX"/>
        </w:rPr>
        <w:t xml:space="preserve">conservar la pendiente de fondo </w:t>
      </w:r>
      <w:r>
        <w:rPr>
          <w:rFonts w:cs="Calibri"/>
          <w:sz w:val="24"/>
          <w:szCs w:val="24"/>
          <w:lang w:val="es-MX"/>
        </w:rPr>
        <w:t xml:space="preserve">y </w:t>
      </w:r>
      <w:r>
        <w:rPr>
          <w:rFonts w:cs="Calibri"/>
          <w:b/>
          <w:bCs/>
          <w:sz w:val="24"/>
          <w:szCs w:val="24"/>
          <w:lang w:val="es-MX"/>
        </w:rPr>
        <w:t>ampliar la sección hidráulica</w:t>
      </w:r>
      <w:r>
        <w:rPr>
          <w:rFonts w:cs="Calibri"/>
          <w:sz w:val="24"/>
          <w:szCs w:val="24"/>
          <w:lang w:val="es-MX"/>
        </w:rPr>
        <w:t xml:space="preserve"> de la fuente hídrica, rediciendo así, los efectos erosivos.</w:t>
      </w:r>
    </w:p>
    <w:p w:rsidR="00527B8C" w:rsidRDefault="00527B8C" w14:paraId="326CBAAA" w14:textId="77777777">
      <w:pPr>
        <w:spacing w:after="0" w:line="360" w:lineRule="auto"/>
        <w:ind w:firstLine="302" w:firstLineChars="126"/>
        <w:jc w:val="both"/>
        <w:rPr>
          <w:rFonts w:asciiTheme="majorHAnsi" w:hAnsiTheme="majorHAnsi" w:eastAsiaTheme="majorEastAsia" w:cstheme="majorBidi"/>
          <w:sz w:val="24"/>
          <w:szCs w:val="24"/>
          <w:lang w:val="es-MX"/>
        </w:rPr>
      </w:pPr>
    </w:p>
    <w:p w:rsidR="00527B8C" w:rsidRDefault="00212A57" w14:paraId="1041E29A" w14:textId="77777777">
      <w:pPr>
        <w:spacing w:after="0" w:line="360" w:lineRule="auto"/>
        <w:ind w:firstLine="302" w:firstLineChars="126"/>
        <w:jc w:val="both"/>
        <w:rPr>
          <w:rFonts w:asciiTheme="majorHAnsi" w:hAnsiTheme="majorHAnsi" w:eastAsiaTheme="majorEastAsia" w:cstheme="majorBidi"/>
          <w:sz w:val="24"/>
          <w:szCs w:val="24"/>
          <w:lang w:val="es-MX"/>
        </w:rPr>
      </w:pPr>
      <w:r>
        <w:rPr>
          <w:rFonts w:asciiTheme="majorHAnsi" w:hAnsiTheme="majorHAnsi" w:eastAsiaTheme="majorEastAsia" w:cstheme="majorBidi"/>
          <w:sz w:val="24"/>
          <w:szCs w:val="24"/>
          <w:lang w:val="es-MX"/>
        </w:rPr>
        <w:t xml:space="preserve">Las franjas de explotación se constituirán en forma paralela entre ellas (perpendiculares a la corriente del río, permitiendo así la recarga natural de las franjas explotadas) y estarán conformadas por un ancho (B) de 25 metros, con longitudes (L) de 25 m (dependiendo del ancho del playón) en la zona de interés. Entre cada franja de explotación se dejarán bermas de protección o contención de sedimentos de 5 metros de ancho, las cuales sirven como disipadoras de velocidad. Cuando se presenten aumentos en el </w:t>
      </w:r>
      <w:r>
        <w:rPr>
          <w:rFonts w:asciiTheme="majorHAnsi" w:hAnsiTheme="majorHAnsi" w:eastAsiaTheme="majorEastAsia" w:cstheme="majorBidi"/>
          <w:sz w:val="24"/>
          <w:szCs w:val="24"/>
          <w:lang w:val="es-MX"/>
        </w:rPr>
        <w:t>nivel de las aguas en las épocas de invierno, permitiendo el depósito del material en las franjas explotadas, para lograr que la recarga del río se realice en las zonas actuales de almacenamiento. Con la franja no explotable se logrará decantar los sedimentos que se pueden originar durante la explotación, evitando el aporte hacia el flujo de agua. Además, con este método de explotación continua en franjas sucesivas, se logrará la protección de las riberas de los ríos.</w:t>
      </w:r>
    </w:p>
    <w:p w:rsidR="00527B8C" w:rsidRDefault="00527B8C" w14:paraId="4A9EF56D" w14:textId="77777777">
      <w:pPr>
        <w:spacing w:after="0" w:line="360" w:lineRule="auto"/>
        <w:jc w:val="both"/>
        <w:rPr>
          <w:rFonts w:asciiTheme="majorHAnsi" w:hAnsiTheme="majorHAnsi" w:eastAsiaTheme="majorEastAsia" w:cstheme="majorBidi"/>
          <w:lang w:val="es-MX"/>
        </w:rPr>
      </w:pPr>
    </w:p>
    <w:p w:rsidR="0022412D" w:rsidRDefault="0022412D" w14:paraId="7E595C05" w14:textId="77777777">
      <w:pPr>
        <w:spacing w:after="0" w:line="360" w:lineRule="auto"/>
        <w:jc w:val="both"/>
        <w:rPr>
          <w:rFonts w:asciiTheme="majorHAnsi" w:hAnsiTheme="majorHAnsi" w:eastAsiaTheme="majorEastAsia" w:cstheme="majorBidi"/>
          <w:lang w:val="es-MX"/>
        </w:rPr>
      </w:pPr>
    </w:p>
    <w:p w:rsidR="0022412D" w:rsidRDefault="0022412D" w14:paraId="4B03492A" w14:textId="77777777">
      <w:pPr>
        <w:spacing w:after="0" w:line="360" w:lineRule="auto"/>
        <w:jc w:val="both"/>
        <w:rPr>
          <w:rFonts w:asciiTheme="majorHAnsi" w:hAnsiTheme="majorHAnsi" w:eastAsiaTheme="majorEastAsia" w:cstheme="majorBidi"/>
          <w:lang w:val="es-MX"/>
        </w:rPr>
      </w:pPr>
    </w:p>
    <w:p w:rsidR="0022412D" w:rsidRDefault="0022412D" w14:paraId="14F6107C" w14:textId="77777777">
      <w:pPr>
        <w:spacing w:after="0" w:line="360" w:lineRule="auto"/>
        <w:jc w:val="both"/>
        <w:rPr>
          <w:rFonts w:asciiTheme="majorHAnsi" w:hAnsiTheme="majorHAnsi" w:eastAsiaTheme="majorEastAsia" w:cstheme="majorBidi"/>
          <w:lang w:val="es-MX"/>
        </w:rPr>
      </w:pPr>
    </w:p>
    <w:p w:rsidR="0022412D" w:rsidRDefault="0022412D" w14:paraId="2C301BD3" w14:textId="77777777">
      <w:pPr>
        <w:spacing w:after="0" w:line="360" w:lineRule="auto"/>
        <w:jc w:val="both"/>
        <w:rPr>
          <w:rFonts w:asciiTheme="majorHAnsi" w:hAnsiTheme="majorHAnsi" w:eastAsiaTheme="majorEastAsia" w:cstheme="majorBidi"/>
          <w:lang w:val="es-MX"/>
        </w:rPr>
      </w:pPr>
    </w:p>
    <w:p w:rsidR="0022412D" w:rsidRDefault="0022412D" w14:paraId="6ACF0C5B" w14:textId="77777777">
      <w:pPr>
        <w:spacing w:after="0" w:line="360" w:lineRule="auto"/>
        <w:jc w:val="both"/>
        <w:rPr>
          <w:rFonts w:asciiTheme="majorHAnsi" w:hAnsiTheme="majorHAnsi" w:eastAsiaTheme="majorEastAsia" w:cstheme="majorBidi"/>
          <w:lang w:val="es-MX"/>
        </w:rPr>
      </w:pPr>
    </w:p>
    <w:p w:rsidR="0022412D" w:rsidRDefault="0022412D" w14:paraId="0F57D93B" w14:textId="77777777">
      <w:pPr>
        <w:spacing w:after="0" w:line="360" w:lineRule="auto"/>
        <w:jc w:val="both"/>
        <w:rPr>
          <w:rFonts w:asciiTheme="majorHAnsi" w:hAnsiTheme="majorHAnsi" w:eastAsiaTheme="majorEastAsia" w:cstheme="majorBidi"/>
          <w:lang w:val="es-MX"/>
        </w:rPr>
      </w:pPr>
    </w:p>
    <w:p w:rsidRPr="0022412D" w:rsidR="00527B8C" w:rsidP="0022412D" w:rsidRDefault="0022412D" w14:paraId="0804B77B" w14:textId="18CDE924">
      <w:pPr>
        <w:pStyle w:val="Descripcin"/>
        <w:spacing w:after="160"/>
        <w:jc w:val="center"/>
        <w:rPr>
          <w:sz w:val="20"/>
          <w:szCs w:val="20"/>
          <w:lang w:val="es-MX"/>
        </w:rPr>
      </w:pPr>
      <w:bookmarkStart w:name="_Toc216514431" w:id="58"/>
      <w:r w:rsidRPr="0022412D">
        <w:rPr>
          <w:sz w:val="20"/>
          <w:szCs w:val="20"/>
        </w:rPr>
        <w:t xml:space="preserve">Foto </w:t>
      </w:r>
      <w:r w:rsidRPr="0022412D">
        <w:rPr>
          <w:sz w:val="20"/>
          <w:szCs w:val="20"/>
        </w:rPr>
        <w:fldChar w:fldCharType="begin"/>
      </w:r>
      <w:r w:rsidRPr="0022412D">
        <w:rPr>
          <w:sz w:val="20"/>
          <w:szCs w:val="20"/>
        </w:rPr>
        <w:instrText xml:space="preserve"> SEQ Foto \* ARABIC </w:instrText>
      </w:r>
      <w:r w:rsidRPr="0022412D">
        <w:rPr>
          <w:sz w:val="20"/>
          <w:szCs w:val="20"/>
        </w:rPr>
        <w:fldChar w:fldCharType="separate"/>
      </w:r>
      <w:r w:rsidR="00EE79CE">
        <w:rPr>
          <w:noProof/>
          <w:sz w:val="20"/>
          <w:szCs w:val="20"/>
        </w:rPr>
        <w:t>2</w:t>
      </w:r>
      <w:r w:rsidRPr="0022412D">
        <w:rPr>
          <w:sz w:val="20"/>
          <w:szCs w:val="20"/>
        </w:rPr>
        <w:fldChar w:fldCharType="end"/>
      </w:r>
      <w:r w:rsidRPr="0022412D">
        <w:rPr>
          <w:sz w:val="20"/>
          <w:szCs w:val="20"/>
        </w:rPr>
        <w:t xml:space="preserve"> Izq: Modelo del método de explotación continúo a lo largo de los playones.</w:t>
      </w:r>
      <w:bookmarkEnd w:id="58"/>
    </w:p>
    <w:tbl>
      <w:tblPr>
        <w:tblW w:w="0" w:type="auto"/>
        <w:tblLook w:val="04A0" w:firstRow="1" w:lastRow="0" w:firstColumn="1" w:lastColumn="0" w:noHBand="0" w:noVBand="1"/>
      </w:tblPr>
      <w:tblGrid>
        <w:gridCol w:w="222"/>
        <w:gridCol w:w="8700"/>
      </w:tblGrid>
      <w:tr w:rsidR="00527B8C" w:rsidTr="00590D90" w14:paraId="266CC959" w14:textId="77777777">
        <w:trPr>
          <w:trHeight w:val="90"/>
        </w:trPr>
        <w:tc>
          <w:tcPr>
            <w:tcW w:w="222" w:type="dxa"/>
            <w:vAlign w:val="center"/>
          </w:tcPr>
          <w:p w:rsidR="00527B8C" w:rsidRDefault="00527B8C" w14:paraId="65FD6B64" w14:textId="77777777">
            <w:pPr>
              <w:spacing w:line="360" w:lineRule="auto"/>
              <w:jc w:val="both"/>
            </w:pPr>
          </w:p>
        </w:tc>
        <w:tc>
          <w:tcPr>
            <w:tcW w:w="8700" w:type="dxa"/>
            <w:vAlign w:val="center"/>
          </w:tcPr>
          <w:p w:rsidR="00527B8C" w:rsidRDefault="00212A57" w14:paraId="460DBE02" w14:textId="77777777">
            <w:pPr>
              <w:spacing w:line="360" w:lineRule="auto"/>
              <w:jc w:val="both"/>
            </w:pPr>
            <w:r>
              <w:rPr>
                <w:noProof/>
              </w:rPr>
              <w:drawing>
                <wp:anchor distT="0" distB="0" distL="114300" distR="114300" simplePos="0" relativeHeight="251658240" behindDoc="0" locked="0" layoutInCell="1" allowOverlap="1" wp14:anchorId="33E8BBB7" wp14:editId="02762F7B">
                  <wp:simplePos x="0" y="0"/>
                  <wp:positionH relativeFrom="column">
                    <wp:posOffset>-9525</wp:posOffset>
                  </wp:positionH>
                  <wp:positionV relativeFrom="paragraph">
                    <wp:posOffset>95250</wp:posOffset>
                  </wp:positionV>
                  <wp:extent cx="5391150" cy="1657350"/>
                  <wp:effectExtent l="38100" t="38100" r="38100" b="38100"/>
                  <wp:wrapNone/>
                  <wp:docPr id="20429010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90107" name="drawing"/>
                          <pic:cNvPicPr>
                            <a:picLocks noChangeAspect="1"/>
                          </pic:cNvPicPr>
                        </pic:nvPicPr>
                        <pic:blipFill>
                          <a:blip r:embed="rId21"/>
                          <a:stretch>
                            <a:fillRect/>
                          </a:stretch>
                        </pic:blipFill>
                        <pic:spPr>
                          <a:xfrm>
                            <a:off x="0" y="0"/>
                            <a:ext cx="5391150" cy="1657350"/>
                          </a:xfrm>
                          <a:prstGeom prst="rect">
                            <a:avLst/>
                          </a:prstGeom>
                          <a:ln w="38100">
                            <a:solidFill>
                              <a:srgbClr val="002060"/>
                            </a:solidFill>
                            <a:prstDash val="solid"/>
                          </a:ln>
                        </pic:spPr>
                      </pic:pic>
                    </a:graphicData>
                  </a:graphic>
                </wp:anchor>
              </w:drawing>
            </w:r>
          </w:p>
          <w:p w:rsidR="00527B8C" w:rsidRDefault="00527B8C" w14:paraId="183F3509" w14:textId="77777777">
            <w:pPr>
              <w:spacing w:line="360" w:lineRule="auto"/>
              <w:jc w:val="both"/>
            </w:pPr>
          </w:p>
          <w:p w:rsidR="00527B8C" w:rsidRDefault="00527B8C" w14:paraId="4BE259BC" w14:textId="77777777">
            <w:pPr>
              <w:spacing w:line="360" w:lineRule="auto"/>
              <w:jc w:val="both"/>
            </w:pPr>
          </w:p>
          <w:p w:rsidR="00527B8C" w:rsidRDefault="00527B8C" w14:paraId="4599555E" w14:textId="77777777">
            <w:pPr>
              <w:spacing w:line="360" w:lineRule="auto"/>
              <w:jc w:val="both"/>
            </w:pPr>
          </w:p>
        </w:tc>
      </w:tr>
      <w:tr w:rsidR="00527B8C" w:rsidTr="00590D90" w14:paraId="794AE89C" w14:textId="77777777">
        <w:trPr>
          <w:trHeight w:val="1061"/>
        </w:trPr>
        <w:tc>
          <w:tcPr>
            <w:tcW w:w="222" w:type="dxa"/>
            <w:vAlign w:val="center"/>
          </w:tcPr>
          <w:p w:rsidR="00527B8C" w:rsidRDefault="00527B8C" w14:paraId="367518C6" w14:textId="77777777">
            <w:pPr>
              <w:spacing w:line="360" w:lineRule="auto"/>
              <w:jc w:val="both"/>
            </w:pPr>
          </w:p>
        </w:tc>
        <w:tc>
          <w:tcPr>
            <w:tcW w:w="8700" w:type="dxa"/>
            <w:vAlign w:val="center"/>
          </w:tcPr>
          <w:p w:rsidR="00527B8C" w:rsidRDefault="00527B8C" w14:paraId="45443BAC" w14:textId="77777777">
            <w:pPr>
              <w:spacing w:after="160" w:line="360" w:lineRule="auto"/>
              <w:jc w:val="both"/>
              <w:rPr>
                <w:rFonts w:cs="Calibri"/>
                <w:i/>
                <w:iCs/>
                <w:sz w:val="24"/>
                <w:szCs w:val="24"/>
                <w:lang w:val="es-MX"/>
              </w:rPr>
            </w:pPr>
          </w:p>
          <w:p w:rsidRPr="0022412D" w:rsidR="00527B8C" w:rsidP="0022412D" w:rsidRDefault="00212A57" w14:paraId="65B203DB" w14:textId="77777777">
            <w:pPr>
              <w:spacing w:after="160" w:line="360" w:lineRule="auto"/>
              <w:jc w:val="center"/>
              <w:rPr>
                <w:sz w:val="20"/>
                <w:szCs w:val="20"/>
              </w:rPr>
            </w:pPr>
            <w:r w:rsidRPr="0022412D">
              <w:rPr>
                <w:rFonts w:cs="Calibri"/>
                <w:i/>
                <w:iCs/>
                <w:sz w:val="20"/>
                <w:szCs w:val="20"/>
                <w:lang w:val="es-MX"/>
              </w:rPr>
              <w:t>Fuente: Estudio Geológico-Minero (EGM - ANM, 2017).</w:t>
            </w:r>
          </w:p>
        </w:tc>
      </w:tr>
    </w:tbl>
    <w:p w:rsidR="00590D90" w:rsidRDefault="00590D90" w14:paraId="0ACF1824" w14:textId="77777777">
      <w:pPr>
        <w:spacing w:after="160" w:line="360" w:lineRule="auto"/>
        <w:ind w:firstLine="304" w:firstLineChars="126"/>
        <w:jc w:val="both"/>
        <w:rPr>
          <w:rFonts w:cs="Calibri"/>
          <w:b/>
          <w:bCs/>
          <w:sz w:val="24"/>
          <w:szCs w:val="24"/>
          <w:lang w:val="es-CO"/>
        </w:rPr>
      </w:pPr>
    </w:p>
    <w:p w:rsidRPr="00590D90" w:rsidR="00527B8C" w:rsidRDefault="00212A57" w14:paraId="49CA92C5" w14:textId="226B5601">
      <w:pPr>
        <w:spacing w:after="160" w:line="360" w:lineRule="auto"/>
        <w:ind w:firstLine="304" w:firstLineChars="126"/>
        <w:jc w:val="both"/>
        <w:rPr>
          <w:rFonts w:cs="Calibri" w:eastAsiaTheme="majorEastAsia"/>
          <w:b/>
          <w:bCs/>
          <w:color w:val="4F81BD" w:themeColor="accent1"/>
          <w:sz w:val="24"/>
          <w:szCs w:val="24"/>
        </w:rPr>
      </w:pPr>
      <w:r w:rsidRPr="00590D90">
        <w:rPr>
          <w:rFonts w:cs="Calibri"/>
          <w:b/>
          <w:bCs/>
          <w:color w:val="4F81BD" w:themeColor="accent1"/>
          <w:sz w:val="24"/>
          <w:szCs w:val="24"/>
          <w:lang w:val="es-CO"/>
        </w:rPr>
        <w:t xml:space="preserve">Explotación por </w:t>
      </w:r>
      <w:r w:rsidRPr="00590D90">
        <w:rPr>
          <w:rFonts w:cs="Calibri" w:eastAsiaTheme="majorEastAsia"/>
          <w:b/>
          <w:bCs/>
          <w:color w:val="4F81BD" w:themeColor="accent1"/>
          <w:sz w:val="24"/>
          <w:szCs w:val="24"/>
        </w:rPr>
        <w:t>dársenas o piscinas transversales.</w:t>
      </w:r>
    </w:p>
    <w:p w:rsidR="00527B8C" w:rsidRDefault="00212A57" w14:paraId="7B6D7132" w14:textId="77777777">
      <w:pPr>
        <w:spacing w:after="160" w:line="360" w:lineRule="auto"/>
        <w:ind w:firstLine="302" w:firstLineChars="126"/>
        <w:jc w:val="both"/>
        <w:rPr>
          <w:rFonts w:cs="Calibri" w:eastAsiaTheme="majorEastAsia"/>
          <w:sz w:val="24"/>
          <w:szCs w:val="24"/>
        </w:rPr>
      </w:pPr>
      <w:r>
        <w:rPr>
          <w:rFonts w:cs="Calibri"/>
          <w:sz w:val="24"/>
          <w:szCs w:val="24"/>
        </w:rPr>
        <w:t>Este método</w:t>
      </w:r>
      <w:r>
        <w:rPr>
          <w:rFonts w:cs="Calibri" w:eastAsiaTheme="majorEastAsia"/>
          <w:sz w:val="24"/>
          <w:szCs w:val="24"/>
        </w:rPr>
        <w:t xml:space="preserve"> consiste en realizar piscinas sobre el lecho de la corriente de agua, cuya dimensión se establece en función del ancho de éste, estas operaciones se realizan con excavadoras hidráulicas y cuando se presentan avenidas o crecidas, estas fosas se llenarán de material de arrastre que según el tamaño puede ser arenas o gravas.</w:t>
      </w:r>
    </w:p>
    <w:p w:rsidR="00527B8C" w:rsidRDefault="00212A57" w14:paraId="309C7F01" w14:textId="77777777">
      <w:pPr>
        <w:spacing w:after="160" w:line="360" w:lineRule="auto"/>
        <w:ind w:firstLine="302" w:firstLineChars="126"/>
        <w:jc w:val="both"/>
        <w:rPr>
          <w:rFonts w:cs="Calibri" w:eastAsiaTheme="majorEastAsia"/>
          <w:sz w:val="24"/>
          <w:szCs w:val="24"/>
        </w:rPr>
      </w:pPr>
      <w:r>
        <w:rPr>
          <w:rFonts w:cs="Calibri" w:eastAsiaTheme="majorEastAsia"/>
          <w:sz w:val="24"/>
          <w:szCs w:val="24"/>
        </w:rPr>
        <w:t>Generalmente la longitud de las piscinas suele estar entre 10 y 15 m, mientras que el ancho si está condicionado al cauce de la corriente de agua, pero generalmente es la mitad del largo de la piscina. La profundidad apropiada para no alterar el cauce de la corriente de agua es de 0.8 a 1.2 m, máximo y donde la corriente lo permita, se puede llegar hasta los 1.5 m.</w:t>
      </w:r>
    </w:p>
    <w:p w:rsidR="00527B8C" w:rsidRDefault="00212A57" w14:paraId="7EC11C4E" w14:textId="77777777">
      <w:pPr>
        <w:spacing w:after="160" w:line="360" w:lineRule="auto"/>
        <w:ind w:firstLine="302" w:firstLineChars="126"/>
        <w:jc w:val="both"/>
        <w:rPr>
          <w:rFonts w:cs="Calibri" w:eastAsiaTheme="majorEastAsia"/>
          <w:sz w:val="24"/>
          <w:szCs w:val="24"/>
        </w:rPr>
      </w:pPr>
      <w:r>
        <w:rPr>
          <w:rFonts w:cs="Calibri" w:eastAsiaTheme="majorEastAsia"/>
          <w:sz w:val="24"/>
          <w:szCs w:val="24"/>
        </w:rPr>
        <w:t>La distancia desde la orilla de la corriente a las piscinas varía dependiendo del acho del cauce, pero no menor a cuatro (4) m, esto es con el fin de evitar la socavación lateral. La distancia entre piscinas debe ser entre 10 y 20 m para evitar la socavación de fondo, que a su vez trabaja como un dique transversal.</w:t>
      </w:r>
    </w:p>
    <w:p w:rsidR="00527B8C" w:rsidRDefault="00527B8C" w14:paraId="5167DF76" w14:textId="77777777">
      <w:pPr>
        <w:pStyle w:val="Ttulo3"/>
        <w:spacing w:line="360" w:lineRule="auto"/>
        <w:jc w:val="both"/>
        <w:rPr>
          <w:sz w:val="24"/>
          <w:szCs w:val="24"/>
          <w:lang w:val="es-CO"/>
        </w:rPr>
      </w:pPr>
    </w:p>
    <w:p w:rsidRPr="00CD75B8" w:rsidR="00CD75B8" w:rsidP="00CD75B8" w:rsidRDefault="00CD75B8" w14:paraId="3B108A30" w14:textId="77777777">
      <w:pPr>
        <w:rPr>
          <w:lang w:val="es-CO"/>
        </w:rPr>
      </w:pPr>
    </w:p>
    <w:p w:rsidR="00527B8C" w:rsidRDefault="00212A57" w14:paraId="18F486EA" w14:textId="77777777">
      <w:pPr>
        <w:pStyle w:val="Ttulo3"/>
        <w:spacing w:line="360" w:lineRule="auto"/>
        <w:jc w:val="both"/>
        <w:rPr>
          <w:rFonts w:ascii="Calibri" w:hAnsi="Calibri" w:eastAsia="Calibri" w:cs="Calibri"/>
          <w:sz w:val="24"/>
          <w:szCs w:val="24"/>
          <w:lang w:val="es-CO"/>
        </w:rPr>
      </w:pPr>
      <w:bookmarkStart w:name="_Toc1639378022" w:id="711932551"/>
      <w:r w:rsidRPr="53DEF7DD" w:rsidR="670101B5">
        <w:rPr>
          <w:sz w:val="24"/>
          <w:szCs w:val="24"/>
          <w:lang w:val="es-CO"/>
        </w:rPr>
        <w:t>4.4.4. Solicitudes de títulos mineros</w:t>
      </w:r>
      <w:bookmarkEnd w:id="711932551"/>
    </w:p>
    <w:p w:rsidR="00527B8C" w:rsidRDefault="00212A57" w14:paraId="77E878B3" w14:textId="0492329A">
      <w:pPr>
        <w:pStyle w:val="Ttulo4"/>
        <w:spacing w:before="0" w:line="360" w:lineRule="auto"/>
        <w:jc w:val="both"/>
        <w:rPr>
          <w:sz w:val="24"/>
          <w:szCs w:val="24"/>
          <w:lang w:val="es-CO"/>
        </w:rPr>
      </w:pPr>
      <w:bookmarkStart w:name="_Toc2126576490" w:id="1126789423"/>
      <w:r w:rsidRPr="53DEF7DD" w:rsidR="670101B5">
        <w:rPr>
          <w:sz w:val="24"/>
          <w:szCs w:val="24"/>
          <w:lang w:val="es-CO"/>
        </w:rPr>
        <w:t>4.4.4.1 Títulos mineros en el departamento del Caquetá</w:t>
      </w:r>
      <w:bookmarkEnd w:id="1126789423"/>
    </w:p>
    <w:p w:rsidR="00527B8C" w:rsidRDefault="00527B8C" w14:paraId="2C6B65FC" w14:textId="77777777">
      <w:pPr>
        <w:rPr>
          <w:lang w:val="es-CO"/>
        </w:rPr>
      </w:pPr>
    </w:p>
    <w:p w:rsidR="00527B8C" w:rsidRDefault="00212A57" w14:paraId="2F34513C" w14:textId="77777777">
      <w:pPr>
        <w:spacing w:after="0" w:line="360" w:lineRule="auto"/>
        <w:ind w:firstLine="302" w:firstLineChars="126"/>
        <w:jc w:val="both"/>
        <w:rPr>
          <w:rFonts w:cs="Calibri"/>
          <w:sz w:val="24"/>
          <w:szCs w:val="24"/>
          <w:lang w:val="es-CO"/>
        </w:rPr>
      </w:pPr>
      <w:r>
        <w:rPr>
          <w:rFonts w:cs="Calibri"/>
          <w:sz w:val="24"/>
          <w:szCs w:val="24"/>
          <w:lang w:val="es-CO"/>
        </w:rPr>
        <w:t>De acuerdo con la Agencia Nacional de Minería (ANM), consultado el día 11 de diciembre de 2025 en el visor de ANNA Minera, los títulos mineros del departamento de Caquetá son:</w:t>
      </w:r>
    </w:p>
    <w:p w:rsidR="00CD75B8" w:rsidRDefault="00CD75B8" w14:paraId="1C202874" w14:textId="77777777">
      <w:pPr>
        <w:spacing w:after="0" w:line="360" w:lineRule="auto"/>
        <w:ind w:firstLine="302" w:firstLineChars="126"/>
        <w:jc w:val="both"/>
        <w:rPr>
          <w:rFonts w:cs="Calibri"/>
          <w:sz w:val="24"/>
          <w:szCs w:val="24"/>
          <w:lang w:val="es-CO"/>
        </w:rPr>
      </w:pPr>
    </w:p>
    <w:p w:rsidRPr="00CD75B8" w:rsidR="00527B8C" w:rsidP="00CD75B8" w:rsidRDefault="00CD75B8" w14:paraId="051D38BA" w14:textId="1B336206">
      <w:pPr>
        <w:pStyle w:val="Descripcin"/>
        <w:spacing w:after="160"/>
        <w:jc w:val="center"/>
        <w:rPr>
          <w:sz w:val="20"/>
          <w:szCs w:val="20"/>
          <w:lang w:val="es-CO"/>
        </w:rPr>
      </w:pPr>
      <w:bookmarkStart w:name="_Toc216558754" w:id="61"/>
      <w:r w:rsidRPr="00CD75B8">
        <w:rPr>
          <w:sz w:val="20"/>
          <w:szCs w:val="20"/>
        </w:rPr>
        <w:t xml:space="preserve">Tabla </w:t>
      </w:r>
      <w:r w:rsidRPr="00CD75B8">
        <w:rPr>
          <w:sz w:val="20"/>
          <w:szCs w:val="20"/>
        </w:rPr>
        <w:fldChar w:fldCharType="begin"/>
      </w:r>
      <w:r w:rsidRPr="00CD75B8">
        <w:rPr>
          <w:sz w:val="20"/>
          <w:szCs w:val="20"/>
        </w:rPr>
        <w:instrText xml:space="preserve"> SEQ Tabla \* ARABIC </w:instrText>
      </w:r>
      <w:r w:rsidRPr="00CD75B8">
        <w:rPr>
          <w:sz w:val="20"/>
          <w:szCs w:val="20"/>
        </w:rPr>
        <w:fldChar w:fldCharType="separate"/>
      </w:r>
      <w:r w:rsidR="00EE79CE">
        <w:rPr>
          <w:noProof/>
          <w:sz w:val="20"/>
          <w:szCs w:val="20"/>
        </w:rPr>
        <w:t>10</w:t>
      </w:r>
      <w:r w:rsidRPr="00CD75B8">
        <w:rPr>
          <w:sz w:val="20"/>
          <w:szCs w:val="20"/>
        </w:rPr>
        <w:fldChar w:fldCharType="end"/>
      </w:r>
      <w:r w:rsidRPr="00CD75B8">
        <w:rPr>
          <w:sz w:val="20"/>
          <w:szCs w:val="20"/>
        </w:rPr>
        <w:t xml:space="preserve"> Títulos mineros en el departamento de Caquetá</w:t>
      </w:r>
      <w:bookmarkEnd w:id="61"/>
    </w:p>
    <w:tbl>
      <w:tblPr>
        <w:tblW w:w="8323" w:type="dxa"/>
        <w:jc w:val="center"/>
        <w:tblBorders>
          <w:top w:val="single" w:color="auto" w:sz="6" w:space="0"/>
          <w:left w:val="single" w:color="auto" w:sz="6" w:space="0"/>
          <w:bottom w:val="single" w:color="auto" w:sz="6" w:space="0"/>
          <w:right w:val="single" w:color="auto" w:sz="6" w:space="0"/>
        </w:tblBorders>
        <w:tblLook w:val="04A0" w:firstRow="1" w:lastRow="0" w:firstColumn="1" w:lastColumn="0" w:noHBand="0" w:noVBand="1"/>
      </w:tblPr>
      <w:tblGrid>
        <w:gridCol w:w="1246"/>
        <w:gridCol w:w="2795"/>
        <w:gridCol w:w="3210"/>
        <w:gridCol w:w="1072"/>
      </w:tblGrid>
      <w:tr w:rsidR="00527B8C" w14:paraId="2A22A5C9"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shd w:val="clear" w:color="auto" w:fill="1B1F7D"/>
            <w:vAlign w:val="center"/>
          </w:tcPr>
          <w:p w:rsidR="00527B8C" w:rsidP="00CD75B8" w:rsidRDefault="00212A57" w14:paraId="4D15E773" w14:textId="77777777">
            <w:pPr>
              <w:spacing w:after="0" w:line="240" w:lineRule="auto"/>
              <w:jc w:val="both"/>
              <w:rPr>
                <w:rFonts w:cs="Calibri"/>
                <w:color w:val="FFFFFF" w:themeColor="background1"/>
                <w:sz w:val="20"/>
                <w:szCs w:val="20"/>
              </w:rPr>
            </w:pPr>
            <w:r>
              <w:rPr>
                <w:rFonts w:cs="Calibri"/>
                <w:b/>
                <w:bCs/>
                <w:color w:val="FFFFFF" w:themeColor="background1"/>
                <w:sz w:val="20"/>
                <w:szCs w:val="20"/>
                <w:lang w:val="es"/>
              </w:rPr>
              <w:t>TITULO</w:t>
            </w:r>
            <w:r>
              <w:rPr>
                <w:rFonts w:cs="Calibri"/>
                <w:color w:val="FFFFFF" w:themeColor="background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shd w:val="clear" w:color="auto" w:fill="1B1F7D"/>
            <w:vAlign w:val="center"/>
          </w:tcPr>
          <w:p w:rsidR="00527B8C" w:rsidP="00CD75B8" w:rsidRDefault="00212A57" w14:paraId="5C5D033D" w14:textId="77777777">
            <w:pPr>
              <w:spacing w:after="0" w:line="240" w:lineRule="auto"/>
              <w:jc w:val="both"/>
              <w:rPr>
                <w:rFonts w:cs="Calibri"/>
                <w:color w:val="FFFFFF" w:themeColor="background1"/>
                <w:sz w:val="20"/>
                <w:szCs w:val="20"/>
              </w:rPr>
            </w:pPr>
            <w:r>
              <w:rPr>
                <w:rFonts w:cs="Calibri"/>
                <w:b/>
                <w:bCs/>
                <w:color w:val="FFFFFF" w:themeColor="background1"/>
                <w:sz w:val="20"/>
                <w:szCs w:val="20"/>
                <w:lang w:val="es"/>
              </w:rPr>
              <w:t>MINERAL</w:t>
            </w:r>
            <w:r>
              <w:rPr>
                <w:rFonts w:cs="Calibri"/>
                <w:color w:val="FFFFFF" w:themeColor="background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shd w:val="clear" w:color="auto" w:fill="1B1F7D"/>
            <w:vAlign w:val="center"/>
          </w:tcPr>
          <w:p w:rsidR="00527B8C" w:rsidP="00CD75B8" w:rsidRDefault="00212A57" w14:paraId="77521A8A" w14:textId="77777777">
            <w:pPr>
              <w:spacing w:after="0" w:line="240" w:lineRule="auto"/>
              <w:jc w:val="both"/>
              <w:rPr>
                <w:rFonts w:cs="Calibri"/>
                <w:color w:val="FFFFFF" w:themeColor="background1"/>
                <w:sz w:val="20"/>
                <w:szCs w:val="20"/>
              </w:rPr>
            </w:pPr>
            <w:r>
              <w:rPr>
                <w:rFonts w:cs="Calibri"/>
                <w:b/>
                <w:bCs/>
                <w:color w:val="FFFFFF" w:themeColor="background1"/>
                <w:sz w:val="20"/>
                <w:szCs w:val="20"/>
                <w:lang w:val="es"/>
              </w:rPr>
              <w:t>MUNICIPIOS</w:t>
            </w:r>
            <w:r>
              <w:rPr>
                <w:rFonts w:cs="Calibri"/>
                <w:color w:val="FFFFFF" w:themeColor="background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shd w:val="clear" w:color="auto" w:fill="1B1F7D"/>
            <w:vAlign w:val="center"/>
          </w:tcPr>
          <w:p w:rsidR="00527B8C" w:rsidP="00CD75B8" w:rsidRDefault="00212A57" w14:paraId="23D1291B" w14:textId="77777777">
            <w:pPr>
              <w:spacing w:after="0" w:line="240" w:lineRule="auto"/>
              <w:jc w:val="both"/>
              <w:rPr>
                <w:rFonts w:cs="Calibri"/>
                <w:color w:val="FFFFFF" w:themeColor="background1"/>
                <w:sz w:val="20"/>
                <w:szCs w:val="20"/>
              </w:rPr>
            </w:pPr>
            <w:r>
              <w:rPr>
                <w:rFonts w:cs="Calibri"/>
                <w:b/>
                <w:bCs/>
                <w:color w:val="FFFFFF" w:themeColor="background1"/>
                <w:sz w:val="20"/>
                <w:szCs w:val="20"/>
                <w:lang w:val="es"/>
              </w:rPr>
              <w:t>AREA_HA</w:t>
            </w:r>
            <w:r>
              <w:rPr>
                <w:rFonts w:cs="Calibri"/>
                <w:color w:val="FFFFFF" w:themeColor="background1"/>
                <w:sz w:val="20"/>
                <w:szCs w:val="20"/>
              </w:rPr>
              <w:t xml:space="preserve"> </w:t>
            </w:r>
          </w:p>
        </w:tc>
      </w:tr>
      <w:tr w:rsidR="00527B8C" w14:paraId="2AAEE2B8"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0E3ED39C" w14:textId="77777777">
            <w:pPr>
              <w:spacing w:after="0" w:line="240" w:lineRule="auto"/>
              <w:jc w:val="both"/>
              <w:rPr>
                <w:rFonts w:cs="Calibri"/>
                <w:color w:val="000000" w:themeColor="text1"/>
                <w:sz w:val="20"/>
                <w:szCs w:val="20"/>
              </w:rPr>
            </w:pPr>
            <w:r>
              <w:rPr>
                <w:rFonts w:cs="Calibri"/>
                <w:color w:val="000000" w:themeColor="text1"/>
                <w:sz w:val="20"/>
                <w:szCs w:val="20"/>
                <w:lang w:val="es"/>
              </w:rPr>
              <w:t>II5-14121</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1B48B502"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gravas</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4F54BD15" w14:textId="77777777">
            <w:pPr>
              <w:spacing w:after="0" w:line="240" w:lineRule="auto"/>
              <w:jc w:val="both"/>
              <w:rPr>
                <w:rFonts w:cs="Calibri"/>
                <w:color w:val="000000" w:themeColor="text1"/>
                <w:sz w:val="20"/>
                <w:szCs w:val="20"/>
              </w:rPr>
            </w:pPr>
            <w:r>
              <w:rPr>
                <w:rFonts w:cs="Calibri"/>
                <w:color w:val="000000" w:themeColor="text1"/>
                <w:sz w:val="20"/>
                <w:szCs w:val="20"/>
                <w:lang w:val="es"/>
              </w:rPr>
              <w:t>Florencia</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00E6A0AE" w14:textId="77777777">
            <w:pPr>
              <w:spacing w:after="0" w:line="240" w:lineRule="auto"/>
              <w:jc w:val="both"/>
              <w:rPr>
                <w:rFonts w:cs="Calibri"/>
                <w:color w:val="000000" w:themeColor="text1"/>
                <w:sz w:val="20"/>
                <w:szCs w:val="20"/>
              </w:rPr>
            </w:pPr>
            <w:r>
              <w:rPr>
                <w:rFonts w:cs="Calibri"/>
                <w:color w:val="000000" w:themeColor="text1"/>
                <w:sz w:val="20"/>
                <w:szCs w:val="20"/>
                <w:lang w:val="es"/>
              </w:rPr>
              <w:t>42,7687</w:t>
            </w:r>
            <w:r>
              <w:rPr>
                <w:rFonts w:cs="Calibri"/>
                <w:color w:val="000000" w:themeColor="text1"/>
                <w:sz w:val="20"/>
                <w:szCs w:val="20"/>
              </w:rPr>
              <w:t xml:space="preserve"> </w:t>
            </w:r>
          </w:p>
        </w:tc>
      </w:tr>
      <w:tr w:rsidR="00527B8C" w14:paraId="0B670307"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123C6678" w14:textId="77777777">
            <w:pPr>
              <w:spacing w:after="0" w:line="240" w:lineRule="auto"/>
              <w:jc w:val="both"/>
              <w:rPr>
                <w:rFonts w:cs="Calibri"/>
                <w:color w:val="000000" w:themeColor="text1"/>
                <w:sz w:val="20"/>
                <w:szCs w:val="20"/>
              </w:rPr>
            </w:pPr>
            <w:r>
              <w:rPr>
                <w:rFonts w:cs="Calibri"/>
                <w:color w:val="000000" w:themeColor="text1"/>
                <w:sz w:val="20"/>
                <w:szCs w:val="20"/>
                <w:lang w:val="es"/>
              </w:rPr>
              <w:t>FKP-122</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3233BC5C"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(de rio), gravas (de rio)</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05CDDE72" w14:textId="77777777">
            <w:pPr>
              <w:spacing w:after="0" w:line="240" w:lineRule="auto"/>
              <w:jc w:val="both"/>
              <w:rPr>
                <w:rFonts w:cs="Calibri"/>
                <w:color w:val="000000" w:themeColor="text1"/>
                <w:sz w:val="20"/>
                <w:szCs w:val="20"/>
              </w:rPr>
            </w:pPr>
            <w:r>
              <w:rPr>
                <w:rFonts w:cs="Calibri"/>
                <w:color w:val="000000" w:themeColor="text1"/>
                <w:sz w:val="20"/>
                <w:szCs w:val="20"/>
                <w:lang w:val="es"/>
              </w:rPr>
              <w:t>Florencia</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45DB5C0C" w14:textId="77777777">
            <w:pPr>
              <w:spacing w:after="0" w:line="240" w:lineRule="auto"/>
              <w:jc w:val="both"/>
              <w:rPr>
                <w:rFonts w:cs="Calibri"/>
                <w:color w:val="000000" w:themeColor="text1"/>
                <w:sz w:val="20"/>
                <w:szCs w:val="20"/>
              </w:rPr>
            </w:pPr>
            <w:r>
              <w:rPr>
                <w:rFonts w:cs="Calibri"/>
                <w:color w:val="000000" w:themeColor="text1"/>
                <w:sz w:val="20"/>
                <w:szCs w:val="20"/>
                <w:lang w:val="es"/>
              </w:rPr>
              <w:t>4,8544</w:t>
            </w:r>
            <w:r>
              <w:rPr>
                <w:rFonts w:cs="Calibri"/>
                <w:color w:val="000000" w:themeColor="text1"/>
                <w:sz w:val="20"/>
                <w:szCs w:val="20"/>
              </w:rPr>
              <w:t xml:space="preserve"> </w:t>
            </w:r>
          </w:p>
        </w:tc>
      </w:tr>
      <w:tr w:rsidR="00527B8C" w14:paraId="2D3BC15A"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09EBEA6E" w14:textId="77777777">
            <w:pPr>
              <w:spacing w:after="0" w:line="240" w:lineRule="auto"/>
              <w:jc w:val="both"/>
              <w:rPr>
                <w:rFonts w:cs="Calibri"/>
                <w:color w:val="000000" w:themeColor="text1"/>
                <w:sz w:val="20"/>
                <w:szCs w:val="20"/>
              </w:rPr>
            </w:pPr>
            <w:r>
              <w:rPr>
                <w:rFonts w:cs="Calibri"/>
                <w:color w:val="000000" w:themeColor="text1"/>
                <w:sz w:val="20"/>
                <w:szCs w:val="20"/>
                <w:lang w:val="es"/>
              </w:rPr>
              <w:t>KKU-10541</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3A8D2AFE"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(de rio), gravas (de rio)</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54B7327B" w14:textId="77777777">
            <w:pPr>
              <w:spacing w:after="0" w:line="240" w:lineRule="auto"/>
              <w:jc w:val="both"/>
              <w:rPr>
                <w:rFonts w:cs="Calibri"/>
                <w:color w:val="000000" w:themeColor="text1"/>
                <w:sz w:val="20"/>
                <w:szCs w:val="20"/>
              </w:rPr>
            </w:pPr>
            <w:r>
              <w:rPr>
                <w:rFonts w:cs="Calibri"/>
                <w:color w:val="000000" w:themeColor="text1"/>
                <w:sz w:val="20"/>
                <w:szCs w:val="20"/>
                <w:lang w:val="es"/>
              </w:rPr>
              <w:t>San Vicente del Caguán</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13187B38" w14:textId="77777777">
            <w:pPr>
              <w:spacing w:after="0" w:line="240" w:lineRule="auto"/>
              <w:jc w:val="both"/>
              <w:rPr>
                <w:rFonts w:cs="Calibri"/>
                <w:color w:val="000000" w:themeColor="text1"/>
                <w:sz w:val="20"/>
                <w:szCs w:val="20"/>
              </w:rPr>
            </w:pPr>
            <w:r>
              <w:rPr>
                <w:rFonts w:cs="Calibri"/>
                <w:color w:val="000000" w:themeColor="text1"/>
                <w:sz w:val="20"/>
                <w:szCs w:val="20"/>
                <w:lang w:val="es"/>
              </w:rPr>
              <w:t>69,9448</w:t>
            </w:r>
            <w:r>
              <w:rPr>
                <w:rFonts w:cs="Calibri"/>
                <w:color w:val="000000" w:themeColor="text1"/>
                <w:sz w:val="20"/>
                <w:szCs w:val="20"/>
              </w:rPr>
              <w:t xml:space="preserve"> </w:t>
            </w:r>
          </w:p>
        </w:tc>
      </w:tr>
      <w:tr w:rsidR="00527B8C" w14:paraId="734B091E" w14:textId="77777777">
        <w:trPr>
          <w:trHeight w:val="300"/>
          <w:jc w:val="center"/>
        </w:trPr>
        <w:tc>
          <w:tcPr>
            <w:tcW w:w="1246" w:type="dxa"/>
            <w:tcBorders>
              <w:top w:val="single" w:color="auto" w:sz="8" w:space="0"/>
              <w:left w:val="single" w:color="auto" w:sz="8" w:space="0"/>
              <w:bottom w:val="single" w:color="auto" w:sz="8" w:space="0"/>
              <w:right w:val="single" w:color="auto" w:sz="8" w:space="0"/>
            </w:tcBorders>
            <w:vAlign w:val="center"/>
          </w:tcPr>
          <w:p w:rsidR="00527B8C" w:rsidP="00CD75B8" w:rsidRDefault="00212A57" w14:paraId="68756166" w14:textId="77777777">
            <w:pPr>
              <w:spacing w:after="0" w:line="240" w:lineRule="auto"/>
              <w:jc w:val="both"/>
              <w:rPr>
                <w:rFonts w:cs="Calibri"/>
                <w:color w:val="000000" w:themeColor="text1"/>
                <w:sz w:val="20"/>
                <w:szCs w:val="20"/>
              </w:rPr>
            </w:pPr>
            <w:r>
              <w:rPr>
                <w:rFonts w:cs="Calibri"/>
                <w:color w:val="000000" w:themeColor="text1"/>
                <w:sz w:val="20"/>
                <w:szCs w:val="20"/>
                <w:lang w:val="es"/>
              </w:rPr>
              <w:t>FLV-10V</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center"/>
          </w:tcPr>
          <w:p w:rsidR="00527B8C" w:rsidP="00CD75B8" w:rsidRDefault="00212A57" w14:paraId="7A267FBC"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(de rio), gravas (de rio)</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31FF4EE7" w14:textId="77777777">
            <w:pPr>
              <w:spacing w:after="0" w:line="240" w:lineRule="auto"/>
              <w:jc w:val="both"/>
              <w:rPr>
                <w:rFonts w:cs="Calibri"/>
                <w:color w:val="000000" w:themeColor="text1"/>
                <w:sz w:val="20"/>
                <w:szCs w:val="20"/>
              </w:rPr>
            </w:pPr>
            <w:r>
              <w:rPr>
                <w:rFonts w:cs="Calibri"/>
                <w:color w:val="000000" w:themeColor="text1"/>
                <w:sz w:val="20"/>
                <w:szCs w:val="20"/>
                <w:lang w:val="es"/>
              </w:rPr>
              <w:t>Belén de los Andaquíes, Albania</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2A82B448" w14:textId="77777777">
            <w:pPr>
              <w:spacing w:after="0" w:line="240" w:lineRule="auto"/>
              <w:jc w:val="both"/>
              <w:rPr>
                <w:rFonts w:cs="Calibri"/>
                <w:color w:val="000000" w:themeColor="text1"/>
                <w:sz w:val="20"/>
                <w:szCs w:val="20"/>
              </w:rPr>
            </w:pPr>
            <w:r>
              <w:rPr>
                <w:rFonts w:cs="Calibri"/>
                <w:color w:val="000000" w:themeColor="text1"/>
                <w:sz w:val="20"/>
                <w:szCs w:val="20"/>
                <w:lang w:val="es"/>
              </w:rPr>
              <w:t>30,5489</w:t>
            </w:r>
            <w:r>
              <w:rPr>
                <w:rFonts w:cs="Calibri"/>
                <w:color w:val="000000" w:themeColor="text1"/>
                <w:sz w:val="20"/>
                <w:szCs w:val="20"/>
              </w:rPr>
              <w:t xml:space="preserve"> </w:t>
            </w:r>
          </w:p>
        </w:tc>
      </w:tr>
      <w:tr w:rsidR="00527B8C" w14:paraId="234DDBF5"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20A9B15F" w14:textId="77777777">
            <w:pPr>
              <w:spacing w:after="0" w:line="240" w:lineRule="auto"/>
              <w:jc w:val="both"/>
              <w:rPr>
                <w:rFonts w:cs="Calibri"/>
                <w:color w:val="000000" w:themeColor="text1"/>
                <w:sz w:val="20"/>
                <w:szCs w:val="20"/>
              </w:rPr>
            </w:pPr>
            <w:r>
              <w:rPr>
                <w:rFonts w:cs="Calibri"/>
                <w:color w:val="000000" w:themeColor="text1"/>
                <w:sz w:val="20"/>
                <w:szCs w:val="20"/>
                <w:lang w:val="es"/>
              </w:rPr>
              <w:t>DL4-163</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29064B86"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(de rio), gravas (de rio)</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718C2E7D" w14:textId="77777777">
            <w:pPr>
              <w:spacing w:after="0" w:line="240" w:lineRule="auto"/>
              <w:jc w:val="both"/>
              <w:rPr>
                <w:rFonts w:cs="Calibri"/>
                <w:color w:val="000000" w:themeColor="text1"/>
                <w:sz w:val="20"/>
                <w:szCs w:val="20"/>
              </w:rPr>
            </w:pPr>
            <w:r>
              <w:rPr>
                <w:rFonts w:cs="Calibri"/>
                <w:color w:val="000000" w:themeColor="text1"/>
                <w:sz w:val="20"/>
                <w:szCs w:val="20"/>
                <w:lang w:val="es"/>
              </w:rPr>
              <w:t>Florencia</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29E0774F" w14:textId="77777777">
            <w:pPr>
              <w:spacing w:after="0" w:line="240" w:lineRule="auto"/>
              <w:jc w:val="both"/>
              <w:rPr>
                <w:rFonts w:cs="Calibri"/>
                <w:color w:val="000000" w:themeColor="text1"/>
                <w:sz w:val="20"/>
                <w:szCs w:val="20"/>
              </w:rPr>
            </w:pPr>
            <w:r>
              <w:rPr>
                <w:rFonts w:cs="Calibri"/>
                <w:color w:val="000000" w:themeColor="text1"/>
                <w:sz w:val="20"/>
                <w:szCs w:val="20"/>
                <w:lang w:val="es"/>
              </w:rPr>
              <w:t>3,8041</w:t>
            </w:r>
            <w:r>
              <w:rPr>
                <w:rFonts w:cs="Calibri"/>
                <w:color w:val="000000" w:themeColor="text1"/>
                <w:sz w:val="20"/>
                <w:szCs w:val="20"/>
              </w:rPr>
              <w:t xml:space="preserve"> </w:t>
            </w:r>
          </w:p>
        </w:tc>
      </w:tr>
      <w:tr w:rsidR="00527B8C" w14:paraId="0274691E"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7CFBF9B3" w14:textId="77777777">
            <w:pPr>
              <w:spacing w:after="0" w:line="240" w:lineRule="auto"/>
              <w:jc w:val="both"/>
              <w:rPr>
                <w:rFonts w:cs="Calibri"/>
                <w:color w:val="000000" w:themeColor="text1"/>
                <w:sz w:val="20"/>
                <w:szCs w:val="20"/>
              </w:rPr>
            </w:pPr>
            <w:r>
              <w:rPr>
                <w:rFonts w:cs="Calibri"/>
                <w:color w:val="000000" w:themeColor="text1"/>
                <w:sz w:val="20"/>
                <w:szCs w:val="20"/>
                <w:lang w:val="es"/>
              </w:rPr>
              <w:t>ECC-082</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69A754F7"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(de rio), gravas (de rio)</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53737B32" w14:textId="77777777">
            <w:pPr>
              <w:spacing w:after="0" w:line="240" w:lineRule="auto"/>
              <w:jc w:val="both"/>
              <w:rPr>
                <w:rFonts w:cs="Calibri"/>
                <w:color w:val="000000" w:themeColor="text1"/>
                <w:sz w:val="20"/>
                <w:szCs w:val="20"/>
              </w:rPr>
            </w:pPr>
            <w:r>
              <w:rPr>
                <w:rFonts w:cs="Calibri"/>
                <w:color w:val="000000" w:themeColor="text1"/>
                <w:sz w:val="20"/>
                <w:szCs w:val="20"/>
                <w:lang w:val="es"/>
              </w:rPr>
              <w:t>Florencia</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104A037C" w14:textId="77777777">
            <w:pPr>
              <w:spacing w:after="0" w:line="240" w:lineRule="auto"/>
              <w:jc w:val="both"/>
              <w:rPr>
                <w:rFonts w:cs="Calibri"/>
                <w:color w:val="000000" w:themeColor="text1"/>
                <w:sz w:val="20"/>
                <w:szCs w:val="20"/>
              </w:rPr>
            </w:pPr>
            <w:r>
              <w:rPr>
                <w:rFonts w:cs="Calibri"/>
                <w:color w:val="000000" w:themeColor="text1"/>
                <w:sz w:val="20"/>
                <w:szCs w:val="20"/>
                <w:lang w:val="es"/>
              </w:rPr>
              <w:t>28,0944</w:t>
            </w:r>
            <w:r>
              <w:rPr>
                <w:rFonts w:cs="Calibri"/>
                <w:color w:val="000000" w:themeColor="text1"/>
                <w:sz w:val="20"/>
                <w:szCs w:val="20"/>
              </w:rPr>
              <w:t xml:space="preserve"> </w:t>
            </w:r>
          </w:p>
        </w:tc>
      </w:tr>
      <w:tr w:rsidR="00527B8C" w14:paraId="7DE53CAA"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46F158CC" w14:textId="77777777">
            <w:pPr>
              <w:spacing w:after="0" w:line="240" w:lineRule="auto"/>
              <w:jc w:val="both"/>
              <w:rPr>
                <w:rFonts w:cs="Calibri"/>
                <w:color w:val="000000" w:themeColor="text1"/>
                <w:sz w:val="20"/>
                <w:szCs w:val="20"/>
              </w:rPr>
            </w:pPr>
            <w:r>
              <w:rPr>
                <w:rFonts w:cs="Calibri"/>
                <w:color w:val="000000" w:themeColor="text1"/>
                <w:sz w:val="20"/>
                <w:szCs w:val="20"/>
                <w:lang w:val="es"/>
              </w:rPr>
              <w:t>GKI-151</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33E86D18"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gravas</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76ADFA2C" w14:textId="77777777">
            <w:pPr>
              <w:spacing w:after="0" w:line="240" w:lineRule="auto"/>
              <w:jc w:val="both"/>
              <w:rPr>
                <w:rFonts w:cs="Calibri"/>
                <w:color w:val="000000" w:themeColor="text1"/>
                <w:sz w:val="20"/>
                <w:szCs w:val="20"/>
              </w:rPr>
            </w:pPr>
            <w:r>
              <w:rPr>
                <w:rFonts w:cs="Calibri"/>
                <w:color w:val="000000" w:themeColor="text1"/>
                <w:sz w:val="20"/>
                <w:szCs w:val="20"/>
                <w:lang w:val="es"/>
              </w:rPr>
              <w:t>El Paujil</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0B635CA1" w14:textId="77777777">
            <w:pPr>
              <w:spacing w:after="0" w:line="240" w:lineRule="auto"/>
              <w:jc w:val="both"/>
              <w:rPr>
                <w:rFonts w:cs="Calibri"/>
                <w:color w:val="000000" w:themeColor="text1"/>
                <w:sz w:val="20"/>
                <w:szCs w:val="20"/>
              </w:rPr>
            </w:pPr>
            <w:r>
              <w:rPr>
                <w:rFonts w:cs="Calibri"/>
                <w:color w:val="000000" w:themeColor="text1"/>
                <w:sz w:val="20"/>
                <w:szCs w:val="20"/>
                <w:lang w:val="es"/>
              </w:rPr>
              <w:t>23,4245</w:t>
            </w:r>
            <w:r>
              <w:rPr>
                <w:rFonts w:cs="Calibri"/>
                <w:color w:val="000000" w:themeColor="text1"/>
                <w:sz w:val="20"/>
                <w:szCs w:val="20"/>
              </w:rPr>
              <w:t xml:space="preserve"> </w:t>
            </w:r>
          </w:p>
        </w:tc>
      </w:tr>
      <w:tr w:rsidR="00527B8C" w14:paraId="0B78B133"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5E553E17" w14:textId="77777777">
            <w:pPr>
              <w:spacing w:after="0" w:line="240" w:lineRule="auto"/>
              <w:jc w:val="both"/>
              <w:rPr>
                <w:rFonts w:cs="Calibri"/>
                <w:color w:val="000000" w:themeColor="text1"/>
                <w:sz w:val="20"/>
                <w:szCs w:val="20"/>
              </w:rPr>
            </w:pPr>
            <w:r>
              <w:rPr>
                <w:rFonts w:cs="Calibri"/>
                <w:color w:val="000000" w:themeColor="text1"/>
                <w:sz w:val="20"/>
                <w:szCs w:val="20"/>
                <w:lang w:val="es"/>
              </w:rPr>
              <w:t>OD2-16271</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073BEDC6"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gravas, recebo</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211D6A3F" w14:textId="77777777">
            <w:pPr>
              <w:spacing w:after="0" w:line="240" w:lineRule="auto"/>
              <w:jc w:val="both"/>
              <w:rPr>
                <w:rFonts w:cs="Calibri"/>
                <w:color w:val="000000" w:themeColor="text1"/>
                <w:sz w:val="20"/>
                <w:szCs w:val="20"/>
              </w:rPr>
            </w:pPr>
            <w:r>
              <w:rPr>
                <w:rFonts w:cs="Calibri"/>
                <w:color w:val="000000" w:themeColor="text1"/>
                <w:sz w:val="20"/>
                <w:szCs w:val="20"/>
                <w:lang w:val="es"/>
              </w:rPr>
              <w:t>El Doncello, El Paujil</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0081B7E6" w14:textId="77777777">
            <w:pPr>
              <w:spacing w:after="0" w:line="240" w:lineRule="auto"/>
              <w:jc w:val="both"/>
              <w:rPr>
                <w:rFonts w:cs="Calibri"/>
                <w:color w:val="000000" w:themeColor="text1"/>
                <w:sz w:val="20"/>
                <w:szCs w:val="20"/>
              </w:rPr>
            </w:pPr>
            <w:r>
              <w:rPr>
                <w:rFonts w:cs="Calibri"/>
                <w:color w:val="000000" w:themeColor="text1"/>
                <w:sz w:val="20"/>
                <w:szCs w:val="20"/>
                <w:lang w:val="es"/>
              </w:rPr>
              <w:t>142,725</w:t>
            </w:r>
            <w:r>
              <w:rPr>
                <w:rFonts w:cs="Calibri"/>
                <w:color w:val="000000" w:themeColor="text1"/>
                <w:sz w:val="20"/>
                <w:szCs w:val="20"/>
              </w:rPr>
              <w:t xml:space="preserve"> </w:t>
            </w:r>
          </w:p>
        </w:tc>
      </w:tr>
      <w:tr w:rsidR="00527B8C" w14:paraId="553292A2" w14:textId="77777777">
        <w:trPr>
          <w:trHeight w:val="300"/>
          <w:jc w:val="center"/>
        </w:trPr>
        <w:tc>
          <w:tcPr>
            <w:tcW w:w="1246"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30329F50" w14:textId="77777777">
            <w:pPr>
              <w:spacing w:after="0" w:line="240" w:lineRule="auto"/>
              <w:jc w:val="both"/>
              <w:rPr>
                <w:rFonts w:cs="Calibri"/>
                <w:color w:val="000000" w:themeColor="text1"/>
                <w:sz w:val="20"/>
                <w:szCs w:val="20"/>
              </w:rPr>
            </w:pPr>
            <w:r>
              <w:rPr>
                <w:rFonts w:cs="Calibri"/>
                <w:color w:val="000000" w:themeColor="text1"/>
                <w:sz w:val="20"/>
                <w:szCs w:val="20"/>
                <w:lang w:val="es"/>
              </w:rPr>
              <w:t>NF4-08381</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21167E5E"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gravas</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76FAA41D" w14:textId="77777777">
            <w:pPr>
              <w:spacing w:after="0" w:line="240" w:lineRule="auto"/>
              <w:jc w:val="both"/>
              <w:rPr>
                <w:rFonts w:cs="Calibri"/>
                <w:color w:val="000000" w:themeColor="text1"/>
                <w:sz w:val="20"/>
                <w:szCs w:val="20"/>
              </w:rPr>
            </w:pPr>
            <w:r>
              <w:rPr>
                <w:rFonts w:cs="Calibri"/>
                <w:color w:val="000000" w:themeColor="text1"/>
                <w:sz w:val="20"/>
                <w:szCs w:val="20"/>
                <w:lang w:val="es"/>
              </w:rPr>
              <w:t>El Doncello</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0876EB6E" w14:textId="77777777">
            <w:pPr>
              <w:spacing w:after="0" w:line="240" w:lineRule="auto"/>
              <w:jc w:val="both"/>
              <w:rPr>
                <w:rFonts w:cs="Calibri"/>
                <w:color w:val="000000" w:themeColor="text1"/>
                <w:sz w:val="20"/>
                <w:szCs w:val="20"/>
              </w:rPr>
            </w:pPr>
            <w:r>
              <w:rPr>
                <w:rFonts w:cs="Calibri"/>
                <w:color w:val="000000" w:themeColor="text1"/>
                <w:sz w:val="20"/>
                <w:szCs w:val="20"/>
                <w:lang w:val="es"/>
              </w:rPr>
              <w:t>310,0345</w:t>
            </w:r>
          </w:p>
        </w:tc>
      </w:tr>
      <w:tr w:rsidR="00527B8C" w14:paraId="7442B573"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1030291F" w14:textId="77777777">
            <w:pPr>
              <w:spacing w:after="0" w:line="240" w:lineRule="auto"/>
              <w:jc w:val="both"/>
              <w:rPr>
                <w:rFonts w:cs="Calibri"/>
                <w:color w:val="000000" w:themeColor="text1"/>
                <w:sz w:val="20"/>
                <w:szCs w:val="20"/>
              </w:rPr>
            </w:pPr>
            <w:r>
              <w:rPr>
                <w:rFonts w:cs="Calibri"/>
                <w:color w:val="000000" w:themeColor="text1"/>
                <w:sz w:val="20"/>
                <w:szCs w:val="20"/>
                <w:lang w:val="es"/>
              </w:rPr>
              <w:t>PFJ-08141</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22A63CB1" w14:textId="77777777">
            <w:pPr>
              <w:spacing w:after="0" w:line="240" w:lineRule="auto"/>
              <w:jc w:val="both"/>
              <w:rPr>
                <w:rFonts w:cs="Calibri"/>
                <w:color w:val="000000" w:themeColor="text1"/>
                <w:sz w:val="20"/>
                <w:szCs w:val="20"/>
              </w:rPr>
            </w:pPr>
            <w:r>
              <w:rPr>
                <w:rFonts w:cs="Calibri"/>
                <w:color w:val="000000" w:themeColor="text1"/>
                <w:sz w:val="20"/>
                <w:szCs w:val="20"/>
                <w:lang w:val="es"/>
              </w:rPr>
              <w:t>De río: arenas, gravas, recebo</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5E730F24" w14:textId="77777777">
            <w:pPr>
              <w:spacing w:after="0" w:line="240" w:lineRule="auto"/>
              <w:jc w:val="both"/>
              <w:rPr>
                <w:rFonts w:cs="Calibri"/>
                <w:color w:val="000000" w:themeColor="text1"/>
                <w:sz w:val="20"/>
                <w:szCs w:val="20"/>
              </w:rPr>
            </w:pPr>
            <w:r>
              <w:rPr>
                <w:rFonts w:cs="Calibri"/>
                <w:color w:val="000000" w:themeColor="text1"/>
                <w:sz w:val="20"/>
                <w:szCs w:val="20"/>
                <w:lang w:val="es"/>
              </w:rPr>
              <w:t>Puerto Rico</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7F18C4CC" w14:textId="77777777">
            <w:pPr>
              <w:spacing w:after="0" w:line="240" w:lineRule="auto"/>
              <w:jc w:val="both"/>
              <w:rPr>
                <w:rFonts w:cs="Calibri"/>
                <w:color w:val="000000" w:themeColor="text1"/>
                <w:sz w:val="20"/>
                <w:szCs w:val="20"/>
              </w:rPr>
            </w:pPr>
            <w:r>
              <w:rPr>
                <w:rFonts w:cs="Calibri"/>
                <w:color w:val="000000" w:themeColor="text1"/>
                <w:sz w:val="20"/>
                <w:szCs w:val="20"/>
                <w:lang w:val="es"/>
              </w:rPr>
              <w:t>98,4131</w:t>
            </w:r>
            <w:r>
              <w:rPr>
                <w:rFonts w:cs="Calibri"/>
                <w:color w:val="000000" w:themeColor="text1"/>
                <w:sz w:val="20"/>
                <w:szCs w:val="20"/>
              </w:rPr>
              <w:t xml:space="preserve"> </w:t>
            </w:r>
          </w:p>
        </w:tc>
      </w:tr>
      <w:tr w:rsidR="00527B8C" w14:paraId="11DD7E23" w14:textId="77777777">
        <w:trPr>
          <w:trHeight w:val="300"/>
          <w:jc w:val="center"/>
        </w:trPr>
        <w:tc>
          <w:tcPr>
            <w:tcW w:w="1246" w:type="dxa"/>
            <w:tcBorders>
              <w:top w:val="single" w:color="auto" w:sz="8" w:space="0"/>
              <w:left w:val="single" w:color="auto" w:sz="8" w:space="0"/>
              <w:bottom w:val="single" w:color="auto" w:sz="8" w:space="0"/>
              <w:right w:val="single" w:color="auto" w:sz="8" w:space="0"/>
            </w:tcBorders>
            <w:vAlign w:val="center"/>
          </w:tcPr>
          <w:p w:rsidR="00527B8C" w:rsidP="00CD75B8" w:rsidRDefault="00212A57" w14:paraId="3E37F9FC" w14:textId="77777777">
            <w:pPr>
              <w:spacing w:after="0" w:line="240" w:lineRule="auto"/>
              <w:jc w:val="both"/>
              <w:rPr>
                <w:rFonts w:cs="Calibri"/>
                <w:color w:val="000000" w:themeColor="text1"/>
                <w:sz w:val="20"/>
                <w:szCs w:val="20"/>
              </w:rPr>
            </w:pPr>
            <w:r>
              <w:rPr>
                <w:rFonts w:cs="Calibri"/>
                <w:color w:val="000000" w:themeColor="text1"/>
                <w:sz w:val="20"/>
                <w:szCs w:val="20"/>
                <w:lang w:val="es"/>
              </w:rPr>
              <w:t>506779</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center"/>
          </w:tcPr>
          <w:p w:rsidR="00527B8C" w:rsidP="00CD75B8" w:rsidRDefault="00212A57" w14:paraId="047E001B"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(de rio), gravas (de rio)</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70D6D131" w14:textId="77777777">
            <w:pPr>
              <w:spacing w:after="0" w:line="240" w:lineRule="auto"/>
              <w:jc w:val="both"/>
              <w:rPr>
                <w:rFonts w:cs="Calibri"/>
                <w:color w:val="000000" w:themeColor="text1"/>
                <w:sz w:val="20"/>
                <w:szCs w:val="20"/>
              </w:rPr>
            </w:pPr>
            <w:r>
              <w:rPr>
                <w:rFonts w:cs="Calibri"/>
                <w:color w:val="000000" w:themeColor="text1"/>
                <w:sz w:val="20"/>
                <w:szCs w:val="20"/>
                <w:lang w:val="es"/>
              </w:rPr>
              <w:t>Belén de los Andaquíes, Valparaíso</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7C242647" w14:textId="77777777">
            <w:pPr>
              <w:spacing w:after="0" w:line="240" w:lineRule="auto"/>
              <w:jc w:val="both"/>
              <w:rPr>
                <w:rFonts w:cs="Calibri"/>
                <w:color w:val="000000" w:themeColor="text1"/>
                <w:sz w:val="20"/>
                <w:szCs w:val="20"/>
              </w:rPr>
            </w:pPr>
            <w:r>
              <w:rPr>
                <w:rFonts w:cs="Calibri"/>
                <w:color w:val="000000" w:themeColor="text1"/>
                <w:sz w:val="20"/>
                <w:szCs w:val="20"/>
                <w:lang w:val="es"/>
              </w:rPr>
              <w:t>109,6032</w:t>
            </w:r>
          </w:p>
        </w:tc>
      </w:tr>
      <w:tr w:rsidR="00527B8C" w14:paraId="18BEF04B"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793CC06E" w14:textId="77777777">
            <w:pPr>
              <w:spacing w:after="0" w:line="240" w:lineRule="auto"/>
              <w:jc w:val="both"/>
              <w:rPr>
                <w:rFonts w:cs="Calibri"/>
                <w:color w:val="000000" w:themeColor="text1"/>
                <w:sz w:val="20"/>
                <w:szCs w:val="20"/>
              </w:rPr>
            </w:pPr>
            <w:r>
              <w:rPr>
                <w:rFonts w:cs="Calibri"/>
                <w:color w:val="000000" w:themeColor="text1"/>
                <w:sz w:val="20"/>
                <w:szCs w:val="20"/>
                <w:lang w:val="es"/>
              </w:rPr>
              <w:t>JBF-11091</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2AAF3340"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(de rio), gravas (de rio)</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1E4DD852" w14:textId="77777777">
            <w:pPr>
              <w:spacing w:after="0" w:line="240" w:lineRule="auto"/>
              <w:jc w:val="both"/>
              <w:rPr>
                <w:rFonts w:cs="Calibri"/>
                <w:color w:val="000000" w:themeColor="text1"/>
                <w:sz w:val="20"/>
                <w:szCs w:val="20"/>
              </w:rPr>
            </w:pPr>
            <w:r>
              <w:rPr>
                <w:rFonts w:cs="Calibri"/>
                <w:color w:val="000000" w:themeColor="text1"/>
                <w:sz w:val="20"/>
                <w:szCs w:val="20"/>
                <w:lang w:val="es"/>
              </w:rPr>
              <w:t>Florencia</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2B7092DD" w14:textId="77777777">
            <w:pPr>
              <w:spacing w:after="0" w:line="240" w:lineRule="auto"/>
              <w:jc w:val="both"/>
              <w:rPr>
                <w:rFonts w:cs="Calibri"/>
                <w:color w:val="000000" w:themeColor="text1"/>
                <w:sz w:val="20"/>
                <w:szCs w:val="20"/>
              </w:rPr>
            </w:pPr>
            <w:r>
              <w:rPr>
                <w:rFonts w:cs="Calibri"/>
                <w:color w:val="000000" w:themeColor="text1"/>
                <w:sz w:val="20"/>
                <w:szCs w:val="20"/>
                <w:lang w:val="es"/>
              </w:rPr>
              <w:t>26,2139</w:t>
            </w:r>
            <w:r>
              <w:rPr>
                <w:rFonts w:cs="Calibri"/>
                <w:color w:val="000000" w:themeColor="text1"/>
                <w:sz w:val="20"/>
                <w:szCs w:val="20"/>
              </w:rPr>
              <w:t xml:space="preserve"> </w:t>
            </w:r>
          </w:p>
        </w:tc>
      </w:tr>
      <w:tr w:rsidR="00527B8C" w14:paraId="3CB782A9"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70153613" w14:textId="77777777">
            <w:pPr>
              <w:spacing w:after="0" w:line="240" w:lineRule="auto"/>
              <w:jc w:val="both"/>
              <w:rPr>
                <w:rFonts w:cs="Calibri"/>
                <w:color w:val="000000" w:themeColor="text1"/>
                <w:sz w:val="20"/>
                <w:szCs w:val="20"/>
              </w:rPr>
            </w:pPr>
            <w:r>
              <w:rPr>
                <w:rFonts w:cs="Calibri"/>
                <w:color w:val="000000" w:themeColor="text1"/>
                <w:sz w:val="20"/>
                <w:szCs w:val="20"/>
                <w:lang w:val="es"/>
              </w:rPr>
              <w:t>FLE-151</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78C86605"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(de rio), gravas (de rio)</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3AFEB60B" w14:textId="77777777">
            <w:pPr>
              <w:spacing w:after="0" w:line="240" w:lineRule="auto"/>
              <w:jc w:val="both"/>
              <w:rPr>
                <w:rFonts w:cs="Calibri"/>
                <w:color w:val="000000" w:themeColor="text1"/>
                <w:sz w:val="20"/>
                <w:szCs w:val="20"/>
              </w:rPr>
            </w:pPr>
            <w:r>
              <w:rPr>
                <w:rFonts w:cs="Calibri"/>
                <w:color w:val="000000" w:themeColor="text1"/>
                <w:sz w:val="20"/>
                <w:szCs w:val="20"/>
                <w:lang w:val="es"/>
              </w:rPr>
              <w:t>Florencia</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589A90F2" w14:textId="77777777">
            <w:pPr>
              <w:spacing w:after="0" w:line="240" w:lineRule="auto"/>
              <w:jc w:val="both"/>
              <w:rPr>
                <w:rFonts w:cs="Calibri"/>
                <w:color w:val="000000" w:themeColor="text1"/>
                <w:sz w:val="20"/>
                <w:szCs w:val="20"/>
              </w:rPr>
            </w:pPr>
            <w:r>
              <w:rPr>
                <w:rFonts w:cs="Calibri"/>
                <w:color w:val="000000" w:themeColor="text1"/>
                <w:sz w:val="20"/>
                <w:szCs w:val="20"/>
                <w:lang w:val="es"/>
              </w:rPr>
              <w:t>16,9261</w:t>
            </w:r>
            <w:r>
              <w:rPr>
                <w:rFonts w:cs="Calibri"/>
                <w:color w:val="000000" w:themeColor="text1"/>
                <w:sz w:val="20"/>
                <w:szCs w:val="20"/>
              </w:rPr>
              <w:t xml:space="preserve"> </w:t>
            </w:r>
          </w:p>
        </w:tc>
      </w:tr>
      <w:tr w:rsidR="00527B8C" w14:paraId="496737BA"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671C52B3" w14:textId="77777777">
            <w:pPr>
              <w:spacing w:after="0" w:line="240" w:lineRule="auto"/>
              <w:jc w:val="both"/>
              <w:rPr>
                <w:rFonts w:cs="Calibri"/>
                <w:color w:val="000000" w:themeColor="text1"/>
                <w:sz w:val="20"/>
                <w:szCs w:val="20"/>
              </w:rPr>
            </w:pPr>
            <w:r>
              <w:rPr>
                <w:rFonts w:cs="Calibri"/>
                <w:color w:val="000000" w:themeColor="text1"/>
                <w:sz w:val="20"/>
                <w:szCs w:val="20"/>
                <w:lang w:val="es"/>
              </w:rPr>
              <w:t>500699</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449D9DE7"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(de rio), gravas (de rio)</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6DBF90F0" w14:textId="77777777">
            <w:pPr>
              <w:spacing w:after="0" w:line="240" w:lineRule="auto"/>
              <w:jc w:val="both"/>
              <w:rPr>
                <w:rFonts w:cs="Calibri"/>
                <w:color w:val="000000" w:themeColor="text1"/>
                <w:sz w:val="20"/>
                <w:szCs w:val="20"/>
              </w:rPr>
            </w:pPr>
            <w:r>
              <w:rPr>
                <w:rFonts w:cs="Calibri"/>
                <w:color w:val="000000" w:themeColor="text1"/>
                <w:sz w:val="20"/>
                <w:szCs w:val="20"/>
                <w:lang w:val="es"/>
              </w:rPr>
              <w:t>Puerto Rico</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69284836" w14:textId="77777777">
            <w:pPr>
              <w:spacing w:after="0" w:line="240" w:lineRule="auto"/>
              <w:jc w:val="both"/>
              <w:rPr>
                <w:rFonts w:cs="Calibri"/>
                <w:color w:val="000000" w:themeColor="text1"/>
                <w:sz w:val="20"/>
                <w:szCs w:val="20"/>
              </w:rPr>
            </w:pPr>
            <w:r>
              <w:rPr>
                <w:rFonts w:cs="Calibri"/>
                <w:color w:val="000000" w:themeColor="text1"/>
                <w:sz w:val="20"/>
                <w:szCs w:val="20"/>
                <w:lang w:val="es"/>
              </w:rPr>
              <w:t>75,0377</w:t>
            </w:r>
            <w:r>
              <w:rPr>
                <w:rFonts w:cs="Calibri"/>
                <w:color w:val="000000" w:themeColor="text1"/>
                <w:sz w:val="20"/>
                <w:szCs w:val="20"/>
              </w:rPr>
              <w:t xml:space="preserve"> </w:t>
            </w:r>
          </w:p>
        </w:tc>
      </w:tr>
      <w:tr w:rsidR="00527B8C" w14:paraId="4C680899"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17D1BAEE" w14:textId="77777777">
            <w:pPr>
              <w:spacing w:after="0" w:line="240" w:lineRule="auto"/>
              <w:jc w:val="both"/>
              <w:rPr>
                <w:rFonts w:cs="Calibri"/>
                <w:color w:val="000000" w:themeColor="text1"/>
                <w:sz w:val="20"/>
                <w:szCs w:val="20"/>
              </w:rPr>
            </w:pPr>
            <w:r>
              <w:rPr>
                <w:rFonts w:cs="Calibri"/>
                <w:color w:val="000000" w:themeColor="text1"/>
                <w:sz w:val="20"/>
                <w:szCs w:val="20"/>
                <w:lang w:val="es"/>
              </w:rPr>
              <w:t>GDD-141</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63FD0690"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(de rio), gravas (de rio</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7CF1B4CD" w14:textId="77777777">
            <w:pPr>
              <w:spacing w:after="0" w:line="240" w:lineRule="auto"/>
              <w:jc w:val="both"/>
              <w:rPr>
                <w:rFonts w:cs="Calibri"/>
                <w:color w:val="000000" w:themeColor="text1"/>
                <w:sz w:val="20"/>
                <w:szCs w:val="20"/>
              </w:rPr>
            </w:pPr>
            <w:r>
              <w:rPr>
                <w:rFonts w:cs="Calibri"/>
                <w:color w:val="000000" w:themeColor="text1"/>
                <w:sz w:val="20"/>
                <w:szCs w:val="20"/>
                <w:lang w:val="es"/>
              </w:rPr>
              <w:t>Florencia, Morelia</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5FB20B4A" w14:textId="77777777">
            <w:pPr>
              <w:spacing w:after="0" w:line="240" w:lineRule="auto"/>
              <w:jc w:val="both"/>
              <w:rPr>
                <w:rFonts w:cs="Calibri"/>
                <w:color w:val="000000" w:themeColor="text1"/>
                <w:sz w:val="20"/>
                <w:szCs w:val="20"/>
              </w:rPr>
            </w:pPr>
            <w:r>
              <w:rPr>
                <w:rFonts w:cs="Calibri"/>
                <w:color w:val="000000" w:themeColor="text1"/>
                <w:sz w:val="20"/>
                <w:szCs w:val="20"/>
                <w:lang w:val="es"/>
              </w:rPr>
              <w:t>44,9106</w:t>
            </w:r>
            <w:r>
              <w:rPr>
                <w:rFonts w:cs="Calibri"/>
                <w:color w:val="000000" w:themeColor="text1"/>
                <w:sz w:val="20"/>
                <w:szCs w:val="20"/>
              </w:rPr>
              <w:t xml:space="preserve"> </w:t>
            </w:r>
          </w:p>
        </w:tc>
      </w:tr>
      <w:tr w:rsidR="00527B8C" w14:paraId="3AFD8437" w14:textId="77777777">
        <w:trPr>
          <w:trHeight w:val="300"/>
          <w:jc w:val="center"/>
        </w:trPr>
        <w:tc>
          <w:tcPr>
            <w:tcW w:w="1246" w:type="dxa"/>
            <w:tcBorders>
              <w:top w:val="single" w:color="auto" w:sz="8" w:space="0"/>
              <w:left w:val="single" w:color="auto" w:sz="8" w:space="0"/>
              <w:bottom w:val="single" w:color="auto" w:sz="8" w:space="0"/>
              <w:right w:val="single" w:color="auto" w:sz="8" w:space="0"/>
            </w:tcBorders>
            <w:vAlign w:val="center"/>
          </w:tcPr>
          <w:p w:rsidR="00527B8C" w:rsidP="00CD75B8" w:rsidRDefault="00212A57" w14:paraId="4E1EB2F1" w14:textId="77777777">
            <w:pPr>
              <w:spacing w:after="0" w:line="240" w:lineRule="auto"/>
              <w:jc w:val="both"/>
              <w:rPr>
                <w:rFonts w:cs="Calibri"/>
                <w:color w:val="000000" w:themeColor="text1"/>
                <w:sz w:val="20"/>
                <w:szCs w:val="20"/>
              </w:rPr>
            </w:pPr>
            <w:r>
              <w:rPr>
                <w:rFonts w:cs="Calibri"/>
                <w:color w:val="000000" w:themeColor="text1"/>
                <w:sz w:val="20"/>
                <w:szCs w:val="20"/>
                <w:lang w:val="es"/>
              </w:rPr>
              <w:t>506786</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0AC3ADD5"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(de rio), gravas (de rio)</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0FF07589" w14:textId="77777777">
            <w:pPr>
              <w:spacing w:after="0" w:line="240" w:lineRule="auto"/>
              <w:jc w:val="both"/>
              <w:rPr>
                <w:rFonts w:cs="Calibri"/>
                <w:color w:val="000000" w:themeColor="text1"/>
                <w:sz w:val="20"/>
                <w:szCs w:val="20"/>
              </w:rPr>
            </w:pPr>
            <w:r>
              <w:rPr>
                <w:rFonts w:cs="Calibri"/>
                <w:color w:val="000000" w:themeColor="text1"/>
                <w:sz w:val="20"/>
                <w:szCs w:val="20"/>
                <w:lang w:val="es"/>
              </w:rPr>
              <w:t>Belén de los Andaquíes, Albania</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16D9C23E" w14:textId="77777777">
            <w:pPr>
              <w:spacing w:after="0" w:line="240" w:lineRule="auto"/>
              <w:jc w:val="both"/>
              <w:rPr>
                <w:rFonts w:cs="Calibri"/>
                <w:color w:val="000000" w:themeColor="text1"/>
                <w:sz w:val="20"/>
                <w:szCs w:val="20"/>
              </w:rPr>
            </w:pPr>
            <w:r>
              <w:rPr>
                <w:rFonts w:cs="Calibri"/>
                <w:color w:val="000000" w:themeColor="text1"/>
                <w:sz w:val="20"/>
                <w:szCs w:val="20"/>
                <w:lang w:val="es"/>
              </w:rPr>
              <w:t>113,3083</w:t>
            </w:r>
          </w:p>
        </w:tc>
      </w:tr>
      <w:tr w:rsidR="00527B8C" w14:paraId="4740A6C1"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2AC5F498" w14:textId="77777777">
            <w:pPr>
              <w:spacing w:after="0" w:line="240" w:lineRule="auto"/>
              <w:jc w:val="both"/>
              <w:rPr>
                <w:rFonts w:cs="Calibri"/>
                <w:color w:val="000000" w:themeColor="text1"/>
                <w:sz w:val="20"/>
                <w:szCs w:val="20"/>
              </w:rPr>
            </w:pPr>
            <w:r>
              <w:rPr>
                <w:rFonts w:cs="Calibri"/>
                <w:color w:val="000000" w:themeColor="text1"/>
                <w:sz w:val="20"/>
                <w:szCs w:val="20"/>
                <w:lang w:val="es"/>
              </w:rPr>
              <w:t>KIN-08181</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0745310E"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(de rio), gravas (de rio)</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0477A4A8" w14:textId="77777777">
            <w:pPr>
              <w:spacing w:after="0" w:line="240" w:lineRule="auto"/>
              <w:jc w:val="both"/>
              <w:rPr>
                <w:rFonts w:cs="Calibri"/>
                <w:color w:val="000000" w:themeColor="text1"/>
                <w:sz w:val="20"/>
                <w:szCs w:val="20"/>
              </w:rPr>
            </w:pPr>
            <w:r>
              <w:rPr>
                <w:rFonts w:cs="Calibri"/>
                <w:color w:val="000000" w:themeColor="text1"/>
                <w:sz w:val="20"/>
                <w:szCs w:val="20"/>
                <w:lang w:val="es"/>
              </w:rPr>
              <w:t>Florencia</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7CF467D7" w14:textId="77777777">
            <w:pPr>
              <w:spacing w:after="0" w:line="240" w:lineRule="auto"/>
              <w:jc w:val="both"/>
              <w:rPr>
                <w:rFonts w:cs="Calibri"/>
                <w:color w:val="000000" w:themeColor="text1"/>
                <w:sz w:val="20"/>
                <w:szCs w:val="20"/>
              </w:rPr>
            </w:pPr>
            <w:r>
              <w:rPr>
                <w:rFonts w:cs="Calibri"/>
                <w:color w:val="000000" w:themeColor="text1"/>
                <w:sz w:val="20"/>
                <w:szCs w:val="20"/>
                <w:lang w:val="es"/>
              </w:rPr>
              <w:t>28,3676</w:t>
            </w:r>
            <w:r>
              <w:rPr>
                <w:rFonts w:cs="Calibri"/>
                <w:color w:val="000000" w:themeColor="text1"/>
                <w:sz w:val="20"/>
                <w:szCs w:val="20"/>
              </w:rPr>
              <w:t xml:space="preserve"> </w:t>
            </w:r>
          </w:p>
        </w:tc>
      </w:tr>
      <w:tr w:rsidR="00527B8C" w14:paraId="63D40634"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164A1980" w14:textId="77777777">
            <w:pPr>
              <w:spacing w:after="0" w:line="240" w:lineRule="auto"/>
              <w:jc w:val="both"/>
              <w:rPr>
                <w:rFonts w:cs="Calibri"/>
                <w:color w:val="000000" w:themeColor="text1"/>
                <w:sz w:val="20"/>
                <w:szCs w:val="20"/>
              </w:rPr>
            </w:pPr>
            <w:r>
              <w:rPr>
                <w:rFonts w:cs="Calibri"/>
                <w:color w:val="000000" w:themeColor="text1"/>
                <w:sz w:val="20"/>
                <w:szCs w:val="20"/>
                <w:lang w:val="es"/>
              </w:rPr>
              <w:t>OE8-15441</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33C0FFBE"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gravas, recebo</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0E1FF75D" w14:textId="77777777">
            <w:pPr>
              <w:spacing w:after="0" w:line="240" w:lineRule="auto"/>
              <w:jc w:val="both"/>
              <w:rPr>
                <w:rFonts w:cs="Calibri"/>
                <w:color w:val="000000" w:themeColor="text1"/>
                <w:sz w:val="20"/>
                <w:szCs w:val="20"/>
              </w:rPr>
            </w:pPr>
            <w:r>
              <w:rPr>
                <w:rFonts w:cs="Calibri"/>
                <w:color w:val="000000" w:themeColor="text1"/>
                <w:sz w:val="20"/>
                <w:szCs w:val="20"/>
                <w:lang w:val="es"/>
              </w:rPr>
              <w:t>El Doncello</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7B616E5E" w14:textId="77777777">
            <w:pPr>
              <w:spacing w:after="0" w:line="240" w:lineRule="auto"/>
              <w:jc w:val="both"/>
              <w:rPr>
                <w:rFonts w:cs="Calibri"/>
                <w:color w:val="000000" w:themeColor="text1"/>
                <w:sz w:val="20"/>
                <w:szCs w:val="20"/>
              </w:rPr>
            </w:pPr>
            <w:r>
              <w:rPr>
                <w:rFonts w:cs="Calibri"/>
                <w:color w:val="000000" w:themeColor="text1"/>
                <w:sz w:val="20"/>
                <w:szCs w:val="20"/>
                <w:lang w:val="es"/>
              </w:rPr>
              <w:t>177,1698</w:t>
            </w:r>
          </w:p>
        </w:tc>
      </w:tr>
      <w:tr w:rsidR="00527B8C" w14:paraId="16CBC53D"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57FEF50C" w14:textId="77777777">
            <w:pPr>
              <w:spacing w:after="0" w:line="240" w:lineRule="auto"/>
              <w:jc w:val="both"/>
              <w:rPr>
                <w:rFonts w:cs="Calibri"/>
                <w:color w:val="000000" w:themeColor="text1"/>
                <w:sz w:val="20"/>
                <w:szCs w:val="20"/>
              </w:rPr>
            </w:pPr>
            <w:r>
              <w:rPr>
                <w:rFonts w:cs="Calibri"/>
                <w:color w:val="000000" w:themeColor="text1"/>
                <w:sz w:val="20"/>
                <w:szCs w:val="20"/>
                <w:lang w:val="es"/>
              </w:rPr>
              <w:t>503959</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6B0BA65F"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(de rio), gravas (de rio)</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38FA829F" w14:textId="77777777">
            <w:pPr>
              <w:spacing w:after="0" w:line="240" w:lineRule="auto"/>
              <w:jc w:val="both"/>
              <w:rPr>
                <w:rFonts w:cs="Calibri"/>
                <w:color w:val="000000" w:themeColor="text1"/>
                <w:sz w:val="20"/>
                <w:szCs w:val="20"/>
              </w:rPr>
            </w:pPr>
            <w:r>
              <w:rPr>
                <w:rFonts w:cs="Calibri"/>
                <w:color w:val="000000" w:themeColor="text1"/>
                <w:sz w:val="20"/>
                <w:szCs w:val="20"/>
                <w:lang w:val="es"/>
              </w:rPr>
              <w:t>El Doncello</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7D71EE31" w14:textId="77777777">
            <w:pPr>
              <w:spacing w:after="0" w:line="240" w:lineRule="auto"/>
              <w:jc w:val="both"/>
              <w:rPr>
                <w:rFonts w:cs="Calibri"/>
                <w:color w:val="000000" w:themeColor="text1"/>
                <w:sz w:val="20"/>
                <w:szCs w:val="20"/>
              </w:rPr>
            </w:pPr>
            <w:r>
              <w:rPr>
                <w:rFonts w:cs="Calibri"/>
                <w:color w:val="000000" w:themeColor="text1"/>
                <w:sz w:val="20"/>
                <w:szCs w:val="20"/>
                <w:lang w:val="es"/>
              </w:rPr>
              <w:t>23,3752</w:t>
            </w:r>
            <w:r>
              <w:rPr>
                <w:rFonts w:cs="Calibri"/>
                <w:color w:val="000000" w:themeColor="text1"/>
                <w:sz w:val="20"/>
                <w:szCs w:val="20"/>
              </w:rPr>
              <w:t xml:space="preserve"> </w:t>
            </w:r>
          </w:p>
        </w:tc>
      </w:tr>
      <w:tr w:rsidR="00527B8C" w14:paraId="5F85829D"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225A7D51" w14:textId="77777777">
            <w:pPr>
              <w:spacing w:after="0" w:line="240" w:lineRule="auto"/>
              <w:jc w:val="both"/>
              <w:rPr>
                <w:rFonts w:cs="Calibri"/>
                <w:color w:val="000000" w:themeColor="text1"/>
                <w:sz w:val="20"/>
                <w:szCs w:val="20"/>
              </w:rPr>
            </w:pPr>
            <w:r>
              <w:rPr>
                <w:rFonts w:cs="Calibri"/>
                <w:color w:val="000000" w:themeColor="text1"/>
                <w:sz w:val="20"/>
                <w:szCs w:val="20"/>
                <w:lang w:val="es"/>
              </w:rPr>
              <w:t>NEU-10361</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04866332"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gravas</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329835AE" w14:textId="77777777">
            <w:pPr>
              <w:spacing w:after="0" w:line="240" w:lineRule="auto"/>
              <w:jc w:val="both"/>
              <w:rPr>
                <w:rFonts w:cs="Calibri"/>
                <w:color w:val="000000" w:themeColor="text1"/>
                <w:sz w:val="20"/>
                <w:szCs w:val="20"/>
              </w:rPr>
            </w:pPr>
            <w:r>
              <w:rPr>
                <w:rFonts w:cs="Calibri"/>
                <w:color w:val="000000" w:themeColor="text1"/>
                <w:sz w:val="20"/>
                <w:szCs w:val="20"/>
                <w:lang w:val="es"/>
              </w:rPr>
              <w:t>Puerto Rico</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145016C0" w14:textId="77777777">
            <w:pPr>
              <w:spacing w:after="0" w:line="240" w:lineRule="auto"/>
              <w:jc w:val="both"/>
              <w:rPr>
                <w:rFonts w:cs="Calibri"/>
                <w:color w:val="000000" w:themeColor="text1"/>
                <w:sz w:val="20"/>
                <w:szCs w:val="20"/>
              </w:rPr>
            </w:pPr>
            <w:r>
              <w:rPr>
                <w:rFonts w:cs="Calibri"/>
                <w:color w:val="000000" w:themeColor="text1"/>
                <w:sz w:val="20"/>
                <w:szCs w:val="20"/>
                <w:lang w:val="es"/>
              </w:rPr>
              <w:t>138,9748</w:t>
            </w:r>
          </w:p>
        </w:tc>
      </w:tr>
      <w:tr w:rsidR="00527B8C" w14:paraId="0F9DA78F"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vAlign w:val="center"/>
          </w:tcPr>
          <w:p w:rsidR="00527B8C" w:rsidP="00CD75B8" w:rsidRDefault="00212A57" w14:paraId="1FF0AA16" w14:textId="77777777">
            <w:pPr>
              <w:spacing w:after="0" w:line="240" w:lineRule="auto"/>
              <w:jc w:val="both"/>
              <w:rPr>
                <w:rFonts w:cs="Calibri"/>
                <w:color w:val="000000" w:themeColor="text1"/>
                <w:sz w:val="20"/>
                <w:szCs w:val="20"/>
              </w:rPr>
            </w:pPr>
            <w:r>
              <w:rPr>
                <w:rFonts w:cs="Calibri"/>
                <w:color w:val="000000" w:themeColor="text1"/>
                <w:sz w:val="20"/>
                <w:szCs w:val="20"/>
                <w:lang w:val="es"/>
              </w:rPr>
              <w:t>II5-14151</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6EB9DACB"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(de rio), gravas (de rio)</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6B0B7E8D" w14:textId="77777777">
            <w:pPr>
              <w:spacing w:after="0" w:line="240" w:lineRule="auto"/>
              <w:jc w:val="both"/>
              <w:rPr>
                <w:rFonts w:cs="Calibri"/>
                <w:color w:val="000000" w:themeColor="text1"/>
                <w:sz w:val="20"/>
                <w:szCs w:val="20"/>
              </w:rPr>
            </w:pPr>
            <w:r>
              <w:rPr>
                <w:rFonts w:cs="Calibri"/>
                <w:color w:val="000000" w:themeColor="text1"/>
                <w:sz w:val="20"/>
                <w:szCs w:val="20"/>
                <w:lang w:val="es"/>
              </w:rPr>
              <w:t>Florencia</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center"/>
          </w:tcPr>
          <w:p w:rsidR="00527B8C" w:rsidP="00CD75B8" w:rsidRDefault="00212A57" w14:paraId="3302DB23" w14:textId="77777777">
            <w:pPr>
              <w:spacing w:after="0" w:line="240" w:lineRule="auto"/>
              <w:jc w:val="both"/>
              <w:rPr>
                <w:rFonts w:cs="Calibri"/>
                <w:color w:val="000000" w:themeColor="text1"/>
                <w:sz w:val="20"/>
                <w:szCs w:val="20"/>
              </w:rPr>
            </w:pPr>
            <w:r>
              <w:rPr>
                <w:rFonts w:cs="Calibri"/>
                <w:color w:val="000000" w:themeColor="text1"/>
                <w:sz w:val="20"/>
                <w:szCs w:val="20"/>
                <w:lang w:val="es"/>
              </w:rPr>
              <w:t>54,8406</w:t>
            </w:r>
            <w:r>
              <w:rPr>
                <w:rFonts w:cs="Calibri"/>
                <w:color w:val="000000" w:themeColor="text1"/>
                <w:sz w:val="20"/>
                <w:szCs w:val="20"/>
              </w:rPr>
              <w:t xml:space="preserve"> </w:t>
            </w:r>
          </w:p>
        </w:tc>
      </w:tr>
      <w:tr w:rsidR="00527B8C" w14:paraId="09E05B78"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2E31C442" w14:textId="77777777">
            <w:pPr>
              <w:spacing w:after="0" w:line="240" w:lineRule="auto"/>
              <w:jc w:val="both"/>
              <w:rPr>
                <w:rFonts w:cs="Calibri"/>
                <w:color w:val="000000" w:themeColor="text1"/>
                <w:sz w:val="20"/>
                <w:szCs w:val="20"/>
              </w:rPr>
            </w:pPr>
            <w:r>
              <w:rPr>
                <w:rFonts w:cs="Calibri"/>
                <w:color w:val="000000" w:themeColor="text1"/>
                <w:sz w:val="20"/>
                <w:szCs w:val="20"/>
                <w:lang w:val="es"/>
              </w:rPr>
              <w:t>HIF-08021</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4642F15E"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(de rio), gravas (de rio)</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11327160" w14:textId="77777777">
            <w:pPr>
              <w:spacing w:after="0" w:line="240" w:lineRule="auto"/>
              <w:jc w:val="both"/>
              <w:rPr>
                <w:rFonts w:cs="Calibri"/>
                <w:color w:val="000000" w:themeColor="text1"/>
                <w:sz w:val="20"/>
                <w:szCs w:val="20"/>
              </w:rPr>
            </w:pPr>
            <w:r>
              <w:rPr>
                <w:rFonts w:cs="Calibri"/>
                <w:color w:val="000000" w:themeColor="text1"/>
                <w:sz w:val="20"/>
                <w:szCs w:val="20"/>
                <w:lang w:val="es"/>
              </w:rPr>
              <w:t>Florencia</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57343BA0" w14:textId="77777777">
            <w:pPr>
              <w:spacing w:after="0" w:line="240" w:lineRule="auto"/>
              <w:jc w:val="both"/>
              <w:rPr>
                <w:rFonts w:cs="Calibri"/>
                <w:color w:val="000000" w:themeColor="text1"/>
                <w:sz w:val="20"/>
                <w:szCs w:val="20"/>
              </w:rPr>
            </w:pPr>
            <w:r>
              <w:rPr>
                <w:rFonts w:cs="Calibri"/>
                <w:color w:val="000000" w:themeColor="text1"/>
                <w:sz w:val="20"/>
                <w:szCs w:val="20"/>
                <w:lang w:val="es"/>
              </w:rPr>
              <w:t>43,7727</w:t>
            </w:r>
            <w:r>
              <w:rPr>
                <w:rFonts w:cs="Calibri"/>
                <w:color w:val="000000" w:themeColor="text1"/>
                <w:sz w:val="20"/>
                <w:szCs w:val="20"/>
              </w:rPr>
              <w:t xml:space="preserve"> </w:t>
            </w:r>
          </w:p>
        </w:tc>
      </w:tr>
      <w:tr w:rsidR="00527B8C" w14:paraId="68A8CE14"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7F21C51C" w14:textId="77777777">
            <w:pPr>
              <w:spacing w:after="0" w:line="240" w:lineRule="auto"/>
              <w:jc w:val="both"/>
              <w:rPr>
                <w:rFonts w:cs="Calibri"/>
                <w:color w:val="000000" w:themeColor="text1"/>
                <w:sz w:val="20"/>
                <w:szCs w:val="20"/>
              </w:rPr>
            </w:pPr>
            <w:r>
              <w:rPr>
                <w:rFonts w:cs="Calibri"/>
                <w:color w:val="000000" w:themeColor="text1"/>
                <w:sz w:val="20"/>
                <w:szCs w:val="20"/>
                <w:lang w:val="es"/>
              </w:rPr>
              <w:t>FLH-081</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4D93BE0E"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(de rio), gravas (de rio)</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37EEF4BB" w14:textId="77777777">
            <w:pPr>
              <w:spacing w:after="0" w:line="240" w:lineRule="auto"/>
              <w:jc w:val="both"/>
              <w:rPr>
                <w:rFonts w:cs="Calibri"/>
                <w:color w:val="000000" w:themeColor="text1"/>
                <w:sz w:val="20"/>
                <w:szCs w:val="20"/>
              </w:rPr>
            </w:pPr>
            <w:r>
              <w:rPr>
                <w:rFonts w:cs="Calibri"/>
                <w:color w:val="000000" w:themeColor="text1"/>
                <w:sz w:val="20"/>
                <w:szCs w:val="20"/>
                <w:lang w:val="es"/>
              </w:rPr>
              <w:t>Florencia</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652F7503" w14:textId="77777777">
            <w:pPr>
              <w:spacing w:after="0" w:line="240" w:lineRule="auto"/>
              <w:jc w:val="both"/>
              <w:rPr>
                <w:rFonts w:cs="Calibri"/>
                <w:color w:val="000000" w:themeColor="text1"/>
                <w:sz w:val="20"/>
                <w:szCs w:val="20"/>
              </w:rPr>
            </w:pPr>
            <w:r>
              <w:rPr>
                <w:rFonts w:cs="Calibri"/>
                <w:color w:val="000000" w:themeColor="text1"/>
                <w:sz w:val="20"/>
                <w:szCs w:val="20"/>
                <w:lang w:val="es"/>
              </w:rPr>
              <w:t>3,4401</w:t>
            </w:r>
            <w:r>
              <w:rPr>
                <w:rFonts w:cs="Calibri"/>
                <w:color w:val="000000" w:themeColor="text1"/>
                <w:sz w:val="20"/>
                <w:szCs w:val="20"/>
              </w:rPr>
              <w:t xml:space="preserve"> </w:t>
            </w:r>
          </w:p>
        </w:tc>
      </w:tr>
      <w:tr w:rsidR="00527B8C" w14:paraId="2F6DE828"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2EF6B4E0" w14:textId="77777777">
            <w:pPr>
              <w:spacing w:after="0" w:line="240" w:lineRule="auto"/>
              <w:jc w:val="both"/>
              <w:rPr>
                <w:rFonts w:cs="Calibri"/>
                <w:color w:val="000000" w:themeColor="text1"/>
                <w:sz w:val="20"/>
                <w:szCs w:val="20"/>
              </w:rPr>
            </w:pPr>
            <w:r>
              <w:rPr>
                <w:rFonts w:cs="Calibri"/>
                <w:color w:val="000000" w:themeColor="text1"/>
                <w:sz w:val="20"/>
                <w:szCs w:val="20"/>
                <w:lang w:val="es"/>
              </w:rPr>
              <w:t>IJP-15151</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4985C686" w14:textId="77777777">
            <w:pPr>
              <w:spacing w:after="0" w:line="240" w:lineRule="auto"/>
              <w:jc w:val="both"/>
              <w:rPr>
                <w:rFonts w:cs="Calibri"/>
                <w:color w:val="000000" w:themeColor="text1"/>
                <w:sz w:val="20"/>
                <w:szCs w:val="20"/>
              </w:rPr>
            </w:pPr>
            <w:r>
              <w:rPr>
                <w:rFonts w:cs="Calibri"/>
                <w:color w:val="000000" w:themeColor="text1"/>
                <w:sz w:val="20"/>
                <w:szCs w:val="20"/>
                <w:lang w:val="es"/>
              </w:rPr>
              <w:t>Gravas</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2C1DD1A8" w14:textId="77777777">
            <w:pPr>
              <w:spacing w:after="0" w:line="240" w:lineRule="auto"/>
              <w:jc w:val="both"/>
              <w:rPr>
                <w:rFonts w:cs="Calibri"/>
                <w:color w:val="000000" w:themeColor="text1"/>
                <w:sz w:val="20"/>
                <w:szCs w:val="20"/>
              </w:rPr>
            </w:pPr>
            <w:r>
              <w:rPr>
                <w:rFonts w:cs="Calibri"/>
                <w:color w:val="000000" w:themeColor="text1"/>
                <w:sz w:val="20"/>
                <w:szCs w:val="20"/>
                <w:lang w:val="es"/>
              </w:rPr>
              <w:t>Montañita</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0F00DEBE" w14:textId="77777777">
            <w:pPr>
              <w:spacing w:after="0" w:line="240" w:lineRule="auto"/>
              <w:jc w:val="both"/>
              <w:rPr>
                <w:rFonts w:cs="Calibri"/>
                <w:color w:val="000000" w:themeColor="text1"/>
                <w:sz w:val="20"/>
                <w:szCs w:val="20"/>
              </w:rPr>
            </w:pPr>
            <w:r>
              <w:rPr>
                <w:rFonts w:cs="Calibri"/>
                <w:color w:val="000000" w:themeColor="text1"/>
                <w:sz w:val="20"/>
                <w:szCs w:val="20"/>
                <w:lang w:val="es"/>
              </w:rPr>
              <w:t>83,9694</w:t>
            </w:r>
            <w:r>
              <w:rPr>
                <w:rFonts w:cs="Calibri"/>
                <w:color w:val="000000" w:themeColor="text1"/>
                <w:sz w:val="20"/>
                <w:szCs w:val="20"/>
              </w:rPr>
              <w:t xml:space="preserve"> </w:t>
            </w:r>
          </w:p>
        </w:tc>
      </w:tr>
      <w:tr w:rsidR="00527B8C" w14:paraId="3B0F5D77"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267004CC" w14:textId="77777777">
            <w:pPr>
              <w:spacing w:after="0" w:line="240" w:lineRule="auto"/>
              <w:jc w:val="both"/>
              <w:rPr>
                <w:rFonts w:cs="Calibri"/>
                <w:color w:val="000000" w:themeColor="text1"/>
                <w:sz w:val="20"/>
                <w:szCs w:val="20"/>
              </w:rPr>
            </w:pPr>
            <w:r>
              <w:rPr>
                <w:rFonts w:cs="Calibri"/>
                <w:color w:val="000000" w:themeColor="text1"/>
                <w:sz w:val="20"/>
                <w:szCs w:val="20"/>
                <w:lang w:val="es"/>
              </w:rPr>
              <w:t>508126</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3274DDC7"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(de rio), gravas (de rio)</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486CE2B3" w14:textId="77777777">
            <w:pPr>
              <w:spacing w:after="0" w:line="240" w:lineRule="auto"/>
              <w:jc w:val="both"/>
              <w:rPr>
                <w:rFonts w:cs="Calibri"/>
                <w:color w:val="000000" w:themeColor="text1"/>
                <w:sz w:val="20"/>
                <w:szCs w:val="20"/>
              </w:rPr>
            </w:pPr>
            <w:r>
              <w:rPr>
                <w:rFonts w:cs="Calibri"/>
                <w:color w:val="000000" w:themeColor="text1"/>
                <w:sz w:val="20"/>
                <w:szCs w:val="20"/>
                <w:lang w:val="es"/>
              </w:rPr>
              <w:t>El Doncello, Puerto Rico</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1441CAD7" w14:textId="77777777">
            <w:pPr>
              <w:spacing w:after="0" w:line="240" w:lineRule="auto"/>
              <w:jc w:val="both"/>
              <w:rPr>
                <w:rFonts w:cs="Calibri"/>
                <w:color w:val="000000" w:themeColor="text1"/>
                <w:sz w:val="20"/>
                <w:szCs w:val="20"/>
              </w:rPr>
            </w:pPr>
            <w:r>
              <w:rPr>
                <w:rFonts w:cs="Calibri"/>
                <w:color w:val="000000" w:themeColor="text1"/>
                <w:sz w:val="20"/>
                <w:szCs w:val="20"/>
                <w:lang w:val="es"/>
              </w:rPr>
              <w:t>68,893</w:t>
            </w:r>
            <w:r>
              <w:rPr>
                <w:rFonts w:cs="Calibri"/>
                <w:color w:val="000000" w:themeColor="text1"/>
                <w:sz w:val="20"/>
                <w:szCs w:val="20"/>
              </w:rPr>
              <w:t xml:space="preserve"> </w:t>
            </w:r>
          </w:p>
        </w:tc>
      </w:tr>
      <w:tr w:rsidR="00527B8C" w14:paraId="4C759C1C"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57818362" w14:textId="77777777">
            <w:pPr>
              <w:spacing w:after="0" w:line="240" w:lineRule="auto"/>
              <w:jc w:val="both"/>
              <w:rPr>
                <w:rFonts w:cs="Calibri"/>
                <w:color w:val="000000" w:themeColor="text1"/>
                <w:sz w:val="20"/>
                <w:szCs w:val="20"/>
              </w:rPr>
            </w:pPr>
            <w:r>
              <w:rPr>
                <w:rFonts w:cs="Calibri"/>
                <w:color w:val="000000" w:themeColor="text1"/>
                <w:sz w:val="20"/>
                <w:szCs w:val="20"/>
                <w:lang w:val="es"/>
              </w:rPr>
              <w:t>GKO-082</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1E9A28AF"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(de rio), gravas (de rio)</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1B179280" w14:textId="77777777">
            <w:pPr>
              <w:spacing w:after="0" w:line="240" w:lineRule="auto"/>
              <w:jc w:val="both"/>
              <w:rPr>
                <w:rFonts w:cs="Calibri"/>
                <w:color w:val="000000" w:themeColor="text1"/>
                <w:sz w:val="20"/>
                <w:szCs w:val="20"/>
              </w:rPr>
            </w:pPr>
            <w:r>
              <w:rPr>
                <w:rFonts w:cs="Calibri"/>
                <w:color w:val="000000" w:themeColor="text1"/>
                <w:sz w:val="20"/>
                <w:szCs w:val="20"/>
                <w:lang w:val="es"/>
              </w:rPr>
              <w:t>Puerto Rico</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725BF291" w14:textId="77777777">
            <w:pPr>
              <w:spacing w:after="0" w:line="240" w:lineRule="auto"/>
              <w:jc w:val="both"/>
              <w:rPr>
                <w:rFonts w:cs="Calibri"/>
                <w:color w:val="000000" w:themeColor="text1"/>
                <w:sz w:val="20"/>
                <w:szCs w:val="20"/>
              </w:rPr>
            </w:pPr>
            <w:r>
              <w:rPr>
                <w:rFonts w:cs="Calibri"/>
                <w:color w:val="000000" w:themeColor="text1"/>
                <w:sz w:val="20"/>
                <w:szCs w:val="20"/>
                <w:lang w:val="es"/>
              </w:rPr>
              <w:t>33,654</w:t>
            </w:r>
            <w:r>
              <w:rPr>
                <w:rFonts w:cs="Calibri"/>
                <w:color w:val="000000" w:themeColor="text1"/>
                <w:sz w:val="20"/>
                <w:szCs w:val="20"/>
              </w:rPr>
              <w:t xml:space="preserve"> </w:t>
            </w:r>
          </w:p>
        </w:tc>
      </w:tr>
      <w:tr w:rsidR="00527B8C" w14:paraId="33CDEFFE" w14:textId="77777777">
        <w:trPr>
          <w:trHeight w:val="540"/>
          <w:jc w:val="center"/>
        </w:trPr>
        <w:tc>
          <w:tcPr>
            <w:tcW w:w="1246" w:type="dxa"/>
            <w:tcBorders>
              <w:top w:val="single" w:color="auto" w:sz="8" w:space="0"/>
              <w:left w:val="single" w:color="auto" w:sz="8" w:space="0"/>
              <w:bottom w:val="single" w:color="auto" w:sz="8" w:space="0"/>
              <w:right w:val="single" w:color="auto" w:sz="8" w:space="0"/>
            </w:tcBorders>
            <w:vAlign w:val="center"/>
          </w:tcPr>
          <w:p w:rsidR="00527B8C" w:rsidP="00CD75B8" w:rsidRDefault="00212A57" w14:paraId="56F2CCB1" w14:textId="77777777">
            <w:pPr>
              <w:spacing w:after="0" w:line="240" w:lineRule="auto"/>
              <w:jc w:val="both"/>
              <w:rPr>
                <w:rFonts w:cs="Calibri"/>
                <w:color w:val="000000" w:themeColor="text1"/>
                <w:sz w:val="20"/>
                <w:szCs w:val="20"/>
              </w:rPr>
            </w:pPr>
            <w:r>
              <w:rPr>
                <w:rFonts w:cs="Calibri"/>
                <w:color w:val="000000" w:themeColor="text1"/>
                <w:sz w:val="20"/>
                <w:szCs w:val="20"/>
                <w:lang w:val="es"/>
              </w:rPr>
              <w:t>501042</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3BA37911" w14:textId="77777777">
            <w:pPr>
              <w:spacing w:after="0" w:line="240" w:lineRule="auto"/>
              <w:jc w:val="both"/>
              <w:rPr>
                <w:rFonts w:cs="Calibri"/>
                <w:color w:val="000000" w:themeColor="text1"/>
                <w:sz w:val="20"/>
                <w:szCs w:val="20"/>
              </w:rPr>
            </w:pPr>
            <w:r>
              <w:rPr>
                <w:rFonts w:cs="Calibri"/>
                <w:color w:val="000000" w:themeColor="text1"/>
                <w:sz w:val="20"/>
                <w:szCs w:val="20"/>
                <w:lang w:val="es"/>
              </w:rPr>
              <w:t>Arcillas, arenas (de rio), asfalto natural, gravas (de rio)</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center"/>
          </w:tcPr>
          <w:p w:rsidR="00527B8C" w:rsidP="00CD75B8" w:rsidRDefault="00212A57" w14:paraId="0968680E" w14:textId="77777777">
            <w:pPr>
              <w:spacing w:after="0" w:line="240" w:lineRule="auto"/>
              <w:jc w:val="both"/>
              <w:rPr>
                <w:rFonts w:cs="Calibri"/>
                <w:color w:val="000000" w:themeColor="text1"/>
                <w:sz w:val="20"/>
                <w:szCs w:val="20"/>
              </w:rPr>
            </w:pPr>
            <w:r>
              <w:rPr>
                <w:rFonts w:cs="Calibri"/>
                <w:color w:val="000000" w:themeColor="text1"/>
                <w:sz w:val="20"/>
                <w:szCs w:val="20"/>
                <w:lang w:val="es"/>
              </w:rPr>
              <w:t>Puerto Rico</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center"/>
          </w:tcPr>
          <w:p w:rsidR="00527B8C" w:rsidP="00CD75B8" w:rsidRDefault="00212A57" w14:paraId="056CA3A0" w14:textId="77777777">
            <w:pPr>
              <w:spacing w:after="0" w:line="240" w:lineRule="auto"/>
              <w:jc w:val="both"/>
              <w:rPr>
                <w:rFonts w:cs="Calibri"/>
                <w:color w:val="000000" w:themeColor="text1"/>
                <w:sz w:val="20"/>
                <w:szCs w:val="20"/>
              </w:rPr>
            </w:pPr>
            <w:r>
              <w:rPr>
                <w:rFonts w:cs="Calibri"/>
                <w:color w:val="000000" w:themeColor="text1"/>
                <w:sz w:val="20"/>
                <w:szCs w:val="20"/>
                <w:lang w:val="es"/>
              </w:rPr>
              <w:t>73,8112</w:t>
            </w:r>
            <w:r>
              <w:rPr>
                <w:rFonts w:cs="Calibri"/>
                <w:color w:val="000000" w:themeColor="text1"/>
                <w:sz w:val="20"/>
                <w:szCs w:val="20"/>
              </w:rPr>
              <w:t xml:space="preserve"> </w:t>
            </w:r>
          </w:p>
        </w:tc>
      </w:tr>
      <w:tr w:rsidR="00527B8C" w14:paraId="6C83D33E" w14:textId="77777777">
        <w:trPr>
          <w:trHeight w:val="285"/>
          <w:jc w:val="center"/>
        </w:trPr>
        <w:tc>
          <w:tcPr>
            <w:tcW w:w="1246"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7E7CA5F5" w14:textId="77777777">
            <w:pPr>
              <w:spacing w:after="0" w:line="240" w:lineRule="auto"/>
              <w:jc w:val="both"/>
              <w:rPr>
                <w:rFonts w:cs="Calibri"/>
                <w:color w:val="000000" w:themeColor="text1"/>
                <w:sz w:val="20"/>
                <w:szCs w:val="20"/>
              </w:rPr>
            </w:pPr>
            <w:r>
              <w:rPr>
                <w:rFonts w:cs="Calibri"/>
                <w:color w:val="000000" w:themeColor="text1"/>
                <w:sz w:val="20"/>
                <w:szCs w:val="20"/>
                <w:lang w:val="es"/>
              </w:rPr>
              <w:t>ARE-411</w:t>
            </w:r>
            <w:r>
              <w:rPr>
                <w:rFonts w:cs="Calibri"/>
                <w:color w:val="000000" w:themeColor="text1"/>
                <w:sz w:val="20"/>
                <w:szCs w:val="20"/>
              </w:rPr>
              <w:t xml:space="preserve"> </w:t>
            </w:r>
          </w:p>
        </w:tc>
        <w:tc>
          <w:tcPr>
            <w:tcW w:w="2795"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0EF79B2C" w14:textId="77777777">
            <w:pPr>
              <w:spacing w:after="0" w:line="240" w:lineRule="auto"/>
              <w:jc w:val="both"/>
              <w:rPr>
                <w:rFonts w:cs="Calibri"/>
                <w:color w:val="000000" w:themeColor="text1"/>
                <w:sz w:val="20"/>
                <w:szCs w:val="20"/>
              </w:rPr>
            </w:pPr>
            <w:r>
              <w:rPr>
                <w:rFonts w:cs="Calibri"/>
                <w:color w:val="000000" w:themeColor="text1"/>
                <w:sz w:val="20"/>
                <w:szCs w:val="20"/>
                <w:lang w:val="es"/>
              </w:rPr>
              <w:t>Arenas silíceas</w:t>
            </w:r>
            <w:r>
              <w:rPr>
                <w:rFonts w:cs="Calibri"/>
                <w:color w:val="000000" w:themeColor="text1"/>
                <w:sz w:val="20"/>
                <w:szCs w:val="20"/>
              </w:rPr>
              <w:t xml:space="preserve"> </w:t>
            </w:r>
          </w:p>
        </w:tc>
        <w:tc>
          <w:tcPr>
            <w:tcW w:w="3210"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4C08A181" w14:textId="77777777">
            <w:pPr>
              <w:spacing w:after="0" w:line="240" w:lineRule="auto"/>
              <w:jc w:val="both"/>
              <w:rPr>
                <w:rFonts w:cs="Calibri"/>
                <w:color w:val="000000" w:themeColor="text1"/>
                <w:sz w:val="20"/>
                <w:szCs w:val="20"/>
              </w:rPr>
            </w:pPr>
            <w:r>
              <w:rPr>
                <w:rFonts w:cs="Calibri"/>
                <w:color w:val="000000" w:themeColor="text1"/>
                <w:sz w:val="20"/>
                <w:szCs w:val="20"/>
                <w:lang w:val="es"/>
              </w:rPr>
              <w:t>Puerto Rico</w:t>
            </w:r>
            <w:r>
              <w:rPr>
                <w:rFonts w:cs="Calibri"/>
                <w:color w:val="000000" w:themeColor="text1"/>
                <w:sz w:val="20"/>
                <w:szCs w:val="20"/>
              </w:rPr>
              <w:t xml:space="preserve"> </w:t>
            </w:r>
          </w:p>
        </w:tc>
        <w:tc>
          <w:tcPr>
            <w:tcW w:w="1072" w:type="dxa"/>
            <w:tcBorders>
              <w:top w:val="single" w:color="auto" w:sz="8" w:space="0"/>
              <w:left w:val="single" w:color="auto" w:sz="8" w:space="0"/>
              <w:bottom w:val="single" w:color="auto" w:sz="8" w:space="0"/>
              <w:right w:val="single" w:color="auto" w:sz="8" w:space="0"/>
            </w:tcBorders>
            <w:vAlign w:val="bottom"/>
          </w:tcPr>
          <w:p w:rsidR="00527B8C" w:rsidP="00CD75B8" w:rsidRDefault="00212A57" w14:paraId="0228A663" w14:textId="77777777">
            <w:pPr>
              <w:spacing w:after="0" w:line="240" w:lineRule="auto"/>
              <w:jc w:val="both"/>
              <w:rPr>
                <w:rFonts w:cs="Calibri"/>
                <w:color w:val="000000" w:themeColor="text1"/>
                <w:sz w:val="20"/>
                <w:szCs w:val="20"/>
              </w:rPr>
            </w:pPr>
            <w:r>
              <w:rPr>
                <w:rFonts w:cs="Calibri"/>
                <w:color w:val="000000" w:themeColor="text1"/>
                <w:sz w:val="20"/>
                <w:szCs w:val="20"/>
                <w:lang w:val="es"/>
              </w:rPr>
              <w:t>15,9903</w:t>
            </w:r>
            <w:r>
              <w:rPr>
                <w:rFonts w:cs="Calibri"/>
                <w:color w:val="000000" w:themeColor="text1"/>
                <w:sz w:val="20"/>
                <w:szCs w:val="20"/>
              </w:rPr>
              <w:t xml:space="preserve"> </w:t>
            </w:r>
          </w:p>
        </w:tc>
      </w:tr>
    </w:tbl>
    <w:p w:rsidRPr="00CD75B8" w:rsidR="00527B8C" w:rsidP="00CD75B8" w:rsidRDefault="00212A57" w14:paraId="184BE2F8" w14:textId="77777777">
      <w:pPr>
        <w:spacing w:after="0" w:line="360" w:lineRule="auto"/>
        <w:jc w:val="center"/>
        <w:rPr>
          <w:rFonts w:cs="Calibri"/>
          <w:i/>
          <w:iCs/>
          <w:sz w:val="20"/>
          <w:szCs w:val="20"/>
          <w:lang w:val="es-CO"/>
        </w:rPr>
      </w:pPr>
      <w:r w:rsidRPr="00CD75B8">
        <w:rPr>
          <w:rFonts w:cs="Calibri"/>
          <w:i/>
          <w:iCs/>
          <w:sz w:val="20"/>
          <w:szCs w:val="20"/>
          <w:lang w:val="es-CO"/>
        </w:rPr>
        <w:t>Fuente: Agencia Nacional Minera ANM, 2025</w:t>
      </w:r>
    </w:p>
    <w:p w:rsidR="00527B8C" w:rsidRDefault="00212A57" w14:paraId="66E1404F" w14:textId="77777777">
      <w:pPr>
        <w:pStyle w:val="Ttulo4"/>
        <w:spacing w:line="360" w:lineRule="auto"/>
        <w:jc w:val="both"/>
        <w:rPr>
          <w:rFonts w:ascii="Calibri" w:hAnsi="Calibri" w:eastAsia="Calibri" w:cs="Calibri"/>
          <w:sz w:val="24"/>
          <w:szCs w:val="24"/>
          <w:lang w:val="es-CO"/>
        </w:rPr>
      </w:pPr>
      <w:bookmarkStart w:name="_Toc734609452" w:id="1647500565"/>
      <w:r w:rsidRPr="53DEF7DD" w:rsidR="670101B5">
        <w:rPr>
          <w:rFonts w:ascii="Calibri" w:hAnsi="Calibri" w:eastAsia="Calibri" w:cs="Calibri"/>
          <w:sz w:val="24"/>
          <w:szCs w:val="24"/>
          <w:lang w:val="es-CO"/>
        </w:rPr>
        <w:t>4.4.4.2 Títulos mineros en el Departamento de Putumayo</w:t>
      </w:r>
      <w:bookmarkEnd w:id="1647500565"/>
    </w:p>
    <w:p w:rsidR="00CD75B8" w:rsidRDefault="00CD75B8" w14:paraId="32717084" w14:textId="77777777">
      <w:pPr>
        <w:spacing w:after="0" w:line="360" w:lineRule="auto"/>
        <w:ind w:firstLine="302" w:firstLineChars="126"/>
        <w:jc w:val="both"/>
        <w:rPr>
          <w:sz w:val="24"/>
          <w:szCs w:val="24"/>
          <w:lang w:val="es-CO"/>
        </w:rPr>
      </w:pPr>
    </w:p>
    <w:p w:rsidR="00527B8C" w:rsidRDefault="00212A57" w14:paraId="6A6CF748" w14:textId="44169C28">
      <w:pPr>
        <w:spacing w:after="0" w:line="360" w:lineRule="auto"/>
        <w:ind w:firstLine="302" w:firstLineChars="126"/>
        <w:jc w:val="both"/>
        <w:rPr>
          <w:sz w:val="24"/>
          <w:szCs w:val="24"/>
          <w:lang w:val="es-CO"/>
        </w:rPr>
      </w:pPr>
      <w:r>
        <w:rPr>
          <w:sz w:val="24"/>
          <w:szCs w:val="24"/>
          <w:lang w:val="es-CO"/>
        </w:rPr>
        <w:t xml:space="preserve">De acuerdo con la </w:t>
      </w:r>
      <w:r>
        <w:rPr>
          <w:rFonts w:cs="Calibri"/>
          <w:sz w:val="24"/>
          <w:szCs w:val="24"/>
          <w:lang w:val="es-CO"/>
        </w:rPr>
        <w:t xml:space="preserve">Agencia Nacional Minera </w:t>
      </w:r>
      <w:r>
        <w:rPr>
          <w:sz w:val="24"/>
          <w:szCs w:val="24"/>
          <w:lang w:val="es-CO"/>
        </w:rPr>
        <w:t xml:space="preserve">ANM </w:t>
      </w:r>
      <w:r>
        <w:rPr>
          <w:rFonts w:cs="Calibri"/>
          <w:sz w:val="24"/>
          <w:szCs w:val="24"/>
          <w:lang w:val="es-CO"/>
        </w:rPr>
        <w:t xml:space="preserve">consultado el día 11 de diciembre de 2025 en el visor de ANNA Minera, </w:t>
      </w:r>
      <w:r>
        <w:rPr>
          <w:sz w:val="24"/>
          <w:szCs w:val="24"/>
          <w:lang w:val="es-CO"/>
        </w:rPr>
        <w:t>los títulos mineros de material de arrastre son 47:</w:t>
      </w:r>
    </w:p>
    <w:p w:rsidR="00CD75B8" w:rsidRDefault="00CD75B8" w14:paraId="50FA32A0" w14:textId="77777777">
      <w:pPr>
        <w:spacing w:after="0" w:line="360" w:lineRule="auto"/>
        <w:ind w:firstLine="302" w:firstLineChars="126"/>
        <w:jc w:val="both"/>
        <w:rPr>
          <w:sz w:val="24"/>
          <w:szCs w:val="24"/>
          <w:lang w:val="es-CO"/>
        </w:rPr>
      </w:pPr>
    </w:p>
    <w:p w:rsidRPr="00CD75B8" w:rsidR="00527B8C" w:rsidP="00CD75B8" w:rsidRDefault="00CD75B8" w14:paraId="7157642A" w14:textId="15346E11">
      <w:pPr>
        <w:pStyle w:val="Descripcin"/>
        <w:spacing w:after="160"/>
        <w:jc w:val="center"/>
        <w:rPr>
          <w:sz w:val="20"/>
          <w:szCs w:val="20"/>
          <w:lang w:val="es-CO"/>
        </w:rPr>
      </w:pPr>
      <w:bookmarkStart w:name="_Toc216558755" w:id="63"/>
      <w:r w:rsidRPr="00CD75B8">
        <w:rPr>
          <w:sz w:val="20"/>
          <w:szCs w:val="20"/>
        </w:rPr>
        <w:t xml:space="preserve">Tabla </w:t>
      </w:r>
      <w:r w:rsidRPr="00CD75B8">
        <w:rPr>
          <w:sz w:val="20"/>
          <w:szCs w:val="20"/>
        </w:rPr>
        <w:fldChar w:fldCharType="begin"/>
      </w:r>
      <w:r w:rsidRPr="00CD75B8">
        <w:rPr>
          <w:sz w:val="20"/>
          <w:szCs w:val="20"/>
        </w:rPr>
        <w:instrText xml:space="preserve"> SEQ Tabla \* ARABIC </w:instrText>
      </w:r>
      <w:r w:rsidRPr="00CD75B8">
        <w:rPr>
          <w:sz w:val="20"/>
          <w:szCs w:val="20"/>
        </w:rPr>
        <w:fldChar w:fldCharType="separate"/>
      </w:r>
      <w:r w:rsidR="00EE79CE">
        <w:rPr>
          <w:noProof/>
          <w:sz w:val="20"/>
          <w:szCs w:val="20"/>
        </w:rPr>
        <w:t>11</w:t>
      </w:r>
      <w:r w:rsidRPr="00CD75B8">
        <w:rPr>
          <w:sz w:val="20"/>
          <w:szCs w:val="20"/>
        </w:rPr>
        <w:fldChar w:fldCharType="end"/>
      </w:r>
      <w:r w:rsidRPr="00CD75B8">
        <w:rPr>
          <w:sz w:val="20"/>
          <w:szCs w:val="20"/>
        </w:rPr>
        <w:t xml:space="preserve"> Títulos mineros de material de arrastre</w:t>
      </w:r>
      <w:bookmarkEnd w:id="63"/>
    </w:p>
    <w:tbl>
      <w:tblPr>
        <w:tblW w:w="8475" w:type="dxa"/>
        <w:tblLook w:val="04A0" w:firstRow="1" w:lastRow="0" w:firstColumn="1" w:lastColumn="0" w:noHBand="0" w:noVBand="1"/>
      </w:tblPr>
      <w:tblGrid>
        <w:gridCol w:w="1563"/>
        <w:gridCol w:w="3326"/>
        <w:gridCol w:w="2331"/>
        <w:gridCol w:w="1255"/>
      </w:tblGrid>
      <w:tr w:rsidR="00527B8C" w14:paraId="4C3083E7" w14:textId="77777777">
        <w:trPr>
          <w:trHeight w:val="300"/>
        </w:trPr>
        <w:tc>
          <w:tcPr>
            <w:tcW w:w="1563" w:type="dxa"/>
            <w:tcBorders>
              <w:top w:val="single" w:color="auto" w:sz="4" w:space="0"/>
              <w:left w:val="single" w:color="auto" w:sz="4" w:space="0"/>
              <w:bottom w:val="single" w:color="auto" w:sz="4" w:space="0"/>
              <w:right w:val="single" w:color="auto" w:sz="4" w:space="0"/>
            </w:tcBorders>
            <w:shd w:val="clear" w:color="auto" w:fill="1B1F7D"/>
            <w:tcMar>
              <w:top w:w="15" w:type="dxa"/>
              <w:left w:w="15" w:type="dxa"/>
              <w:right w:w="15" w:type="dxa"/>
            </w:tcMar>
            <w:vAlign w:val="center"/>
          </w:tcPr>
          <w:p w:rsidR="00527B8C" w:rsidP="00CD75B8" w:rsidRDefault="00212A57" w14:paraId="40AA8563" w14:textId="77777777">
            <w:pPr>
              <w:spacing w:after="0" w:line="240" w:lineRule="auto"/>
              <w:jc w:val="center"/>
              <w:rPr>
                <w:rFonts w:cs="Calibri"/>
                <w:b/>
                <w:bCs/>
                <w:color w:val="FFFFFF" w:themeColor="background1"/>
                <w:sz w:val="20"/>
                <w:szCs w:val="20"/>
              </w:rPr>
            </w:pPr>
            <w:r>
              <w:rPr>
                <w:rFonts w:cs="Calibri"/>
                <w:b/>
                <w:bCs/>
                <w:color w:val="FFFFFF" w:themeColor="background1"/>
                <w:sz w:val="20"/>
                <w:szCs w:val="20"/>
              </w:rPr>
              <w:t>TITULO</w:t>
            </w:r>
          </w:p>
        </w:tc>
        <w:tc>
          <w:tcPr>
            <w:tcW w:w="3326" w:type="dxa"/>
            <w:tcBorders>
              <w:top w:val="single" w:color="auto" w:sz="4" w:space="0"/>
              <w:left w:val="single" w:color="auto" w:sz="4" w:space="0"/>
              <w:bottom w:val="single" w:color="auto" w:sz="4" w:space="0"/>
              <w:right w:val="single" w:color="auto" w:sz="4" w:space="0"/>
            </w:tcBorders>
            <w:shd w:val="clear" w:color="auto" w:fill="1B1F7D"/>
            <w:tcMar>
              <w:top w:w="15" w:type="dxa"/>
              <w:left w:w="15" w:type="dxa"/>
              <w:right w:w="15" w:type="dxa"/>
            </w:tcMar>
            <w:vAlign w:val="center"/>
          </w:tcPr>
          <w:p w:rsidR="00527B8C" w:rsidP="00CD75B8" w:rsidRDefault="00212A57" w14:paraId="68CBF09E" w14:textId="77777777">
            <w:pPr>
              <w:spacing w:after="0" w:line="240" w:lineRule="auto"/>
              <w:jc w:val="center"/>
              <w:rPr>
                <w:rFonts w:cs="Calibri"/>
                <w:b/>
                <w:bCs/>
                <w:color w:val="FFFFFF" w:themeColor="background1"/>
                <w:sz w:val="20"/>
                <w:szCs w:val="20"/>
              </w:rPr>
            </w:pPr>
            <w:r>
              <w:rPr>
                <w:rFonts w:cs="Calibri"/>
                <w:b/>
                <w:bCs/>
                <w:color w:val="FFFFFF" w:themeColor="background1"/>
                <w:sz w:val="20"/>
                <w:szCs w:val="20"/>
              </w:rPr>
              <w:t>MINERAL</w:t>
            </w:r>
          </w:p>
        </w:tc>
        <w:tc>
          <w:tcPr>
            <w:tcW w:w="2331" w:type="dxa"/>
            <w:tcBorders>
              <w:top w:val="single" w:color="auto" w:sz="4" w:space="0"/>
              <w:left w:val="single" w:color="auto" w:sz="4" w:space="0"/>
              <w:bottom w:val="single" w:color="auto" w:sz="4" w:space="0"/>
              <w:right w:val="single" w:color="auto" w:sz="4" w:space="0"/>
            </w:tcBorders>
            <w:shd w:val="clear" w:color="auto" w:fill="1B1F7D"/>
            <w:tcMar>
              <w:top w:w="15" w:type="dxa"/>
              <w:left w:w="15" w:type="dxa"/>
              <w:right w:w="15" w:type="dxa"/>
            </w:tcMar>
            <w:vAlign w:val="center"/>
          </w:tcPr>
          <w:p w:rsidR="00527B8C" w:rsidP="00CD75B8" w:rsidRDefault="00212A57" w14:paraId="72DACC70" w14:textId="77777777">
            <w:pPr>
              <w:spacing w:after="0" w:line="240" w:lineRule="auto"/>
              <w:jc w:val="center"/>
              <w:rPr>
                <w:rFonts w:cs="Calibri"/>
                <w:b/>
                <w:bCs/>
                <w:color w:val="FFFFFF" w:themeColor="background1"/>
                <w:sz w:val="20"/>
                <w:szCs w:val="20"/>
              </w:rPr>
            </w:pPr>
            <w:r>
              <w:rPr>
                <w:rFonts w:cs="Calibri"/>
                <w:b/>
                <w:bCs/>
                <w:color w:val="FFFFFF" w:themeColor="background1"/>
                <w:sz w:val="20"/>
                <w:szCs w:val="20"/>
              </w:rPr>
              <w:t>MUNICIPIOS</w:t>
            </w:r>
          </w:p>
        </w:tc>
        <w:tc>
          <w:tcPr>
            <w:tcW w:w="1255" w:type="dxa"/>
            <w:tcBorders>
              <w:top w:val="single" w:color="auto" w:sz="4" w:space="0"/>
              <w:left w:val="single" w:color="auto" w:sz="4" w:space="0"/>
              <w:bottom w:val="single" w:color="auto" w:sz="4" w:space="0"/>
              <w:right w:val="single" w:color="auto" w:sz="4" w:space="0"/>
            </w:tcBorders>
            <w:shd w:val="clear" w:color="auto" w:fill="1B1F7D"/>
            <w:tcMar>
              <w:top w:w="15" w:type="dxa"/>
              <w:left w:w="15" w:type="dxa"/>
              <w:right w:w="15" w:type="dxa"/>
            </w:tcMar>
            <w:vAlign w:val="center"/>
          </w:tcPr>
          <w:p w:rsidR="00527B8C" w:rsidP="00CD75B8" w:rsidRDefault="00212A57" w14:paraId="4EE1EC3B" w14:textId="77777777">
            <w:pPr>
              <w:spacing w:after="0" w:line="240" w:lineRule="auto"/>
              <w:jc w:val="center"/>
              <w:rPr>
                <w:rFonts w:cs="Calibri"/>
                <w:b/>
                <w:bCs/>
                <w:color w:val="FFFFFF" w:themeColor="background1"/>
                <w:sz w:val="20"/>
                <w:szCs w:val="20"/>
              </w:rPr>
            </w:pPr>
            <w:r>
              <w:rPr>
                <w:rFonts w:cs="Calibri"/>
                <w:b/>
                <w:bCs/>
                <w:color w:val="FFFFFF" w:themeColor="background1"/>
                <w:sz w:val="20"/>
                <w:szCs w:val="20"/>
              </w:rPr>
              <w:t>AREA_HA</w:t>
            </w:r>
          </w:p>
        </w:tc>
      </w:tr>
      <w:tr w:rsidR="00527B8C" w14:paraId="58EDDE72"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7C41010B" w14:textId="77777777">
            <w:pPr>
              <w:spacing w:after="0" w:line="240" w:lineRule="auto"/>
              <w:jc w:val="both"/>
            </w:pPr>
            <w:r>
              <w:rPr>
                <w:rFonts w:cs="Calibri"/>
                <w:color w:val="000000" w:themeColor="text1"/>
                <w:sz w:val="20"/>
                <w:szCs w:val="20"/>
              </w:rPr>
              <w:t>NJ4-14481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64D1F1D0" w14:textId="77777777">
            <w:pPr>
              <w:spacing w:after="0" w:line="240" w:lineRule="auto"/>
              <w:jc w:val="both"/>
            </w:pPr>
            <w:r>
              <w:rPr>
                <w:rFonts w:cs="Calibri"/>
                <w:color w:val="000000" w:themeColor="text1"/>
                <w:sz w:val="20"/>
                <w:szCs w:val="20"/>
              </w:rPr>
              <w:t>Arenas y grava</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6536AB47" w14:textId="77777777">
            <w:pPr>
              <w:spacing w:after="0" w:line="240" w:lineRule="auto"/>
              <w:jc w:val="both"/>
              <w:rPr>
                <w:rFonts w:cs="Calibri"/>
                <w:color w:val="000000" w:themeColor="text1"/>
                <w:sz w:val="20"/>
                <w:szCs w:val="20"/>
              </w:rPr>
            </w:pPr>
            <w:r>
              <w:rPr>
                <w:rFonts w:cs="Calibri"/>
                <w:color w:val="000000" w:themeColor="text1"/>
                <w:sz w:val="20"/>
                <w:szCs w:val="20"/>
              </w:rPr>
              <w:t>Mocoa, Villagarzón</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7D55A026" w14:textId="77777777">
            <w:pPr>
              <w:spacing w:after="0" w:line="240" w:lineRule="auto"/>
              <w:jc w:val="both"/>
            </w:pPr>
            <w:r>
              <w:rPr>
                <w:rFonts w:cs="Calibri"/>
                <w:color w:val="000000" w:themeColor="text1"/>
                <w:sz w:val="20"/>
                <w:szCs w:val="20"/>
              </w:rPr>
              <w:t>186,2782</w:t>
            </w:r>
          </w:p>
        </w:tc>
      </w:tr>
      <w:tr w:rsidR="00527B8C" w14:paraId="100FF291"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387B9302" w14:textId="77777777">
            <w:pPr>
              <w:spacing w:after="0" w:line="240" w:lineRule="auto"/>
              <w:jc w:val="both"/>
            </w:pPr>
            <w:r>
              <w:rPr>
                <w:rFonts w:cs="Calibri"/>
                <w:color w:val="000000" w:themeColor="text1"/>
                <w:sz w:val="20"/>
                <w:szCs w:val="20"/>
              </w:rPr>
              <w:t>OE2-16262</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77C37429" w14:textId="77777777">
            <w:pPr>
              <w:spacing w:after="0" w:line="240" w:lineRule="auto"/>
              <w:jc w:val="both"/>
            </w:pPr>
            <w:r>
              <w:rPr>
                <w:rFonts w:cs="Calibri"/>
                <w:color w:val="000000" w:themeColor="text1"/>
                <w:sz w:val="20"/>
                <w:szCs w:val="20"/>
              </w:rPr>
              <w:t>Arenas, gravas</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204C5131" w14:textId="77777777">
            <w:pPr>
              <w:spacing w:after="0" w:line="240" w:lineRule="auto"/>
              <w:jc w:val="both"/>
            </w:pPr>
            <w:r>
              <w:rPr>
                <w:rFonts w:cs="Calibri"/>
                <w:color w:val="000000" w:themeColor="text1"/>
                <w:sz w:val="20"/>
                <w:szCs w:val="20"/>
              </w:rPr>
              <w:t>Puerto Asís</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2AD387DD" w14:textId="77777777">
            <w:pPr>
              <w:spacing w:after="0" w:line="240" w:lineRule="auto"/>
              <w:jc w:val="both"/>
            </w:pPr>
            <w:r>
              <w:rPr>
                <w:rFonts w:cs="Calibri"/>
                <w:color w:val="000000" w:themeColor="text1"/>
                <w:sz w:val="20"/>
                <w:szCs w:val="20"/>
              </w:rPr>
              <w:t>29,609</w:t>
            </w:r>
          </w:p>
        </w:tc>
      </w:tr>
      <w:tr w:rsidR="00527B8C" w14:paraId="3DF2974F"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4ED970E1" w14:textId="77777777">
            <w:pPr>
              <w:spacing w:after="0" w:line="240" w:lineRule="auto"/>
              <w:jc w:val="both"/>
            </w:pPr>
            <w:r>
              <w:rPr>
                <w:rFonts w:cs="Calibri"/>
                <w:color w:val="000000" w:themeColor="text1"/>
                <w:sz w:val="20"/>
                <w:szCs w:val="20"/>
              </w:rPr>
              <w:t>504338</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06CC372B" w14:textId="77777777">
            <w:pPr>
              <w:spacing w:after="0" w:line="240" w:lineRule="auto"/>
              <w:jc w:val="both"/>
            </w:pPr>
            <w:r>
              <w:rPr>
                <w:rFonts w:cs="Calibri"/>
                <w:color w:val="000000" w:themeColor="text1"/>
                <w:sz w:val="20"/>
                <w:szCs w:val="20"/>
              </w:rPr>
              <w:t>Arenas, gravas</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636D0E69" w14:textId="77777777">
            <w:pPr>
              <w:spacing w:after="0" w:line="240" w:lineRule="auto"/>
              <w:jc w:val="both"/>
              <w:rPr>
                <w:rFonts w:cs="Calibri"/>
                <w:color w:val="000000" w:themeColor="text1"/>
                <w:sz w:val="20"/>
                <w:szCs w:val="20"/>
              </w:rPr>
            </w:pPr>
            <w:r>
              <w:rPr>
                <w:rFonts w:cs="Calibri"/>
                <w:color w:val="000000" w:themeColor="text1"/>
                <w:sz w:val="20"/>
                <w:szCs w:val="20"/>
              </w:rPr>
              <w:t>Santa Rosa, Mocoa</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69CECF46" w14:textId="77777777">
            <w:pPr>
              <w:spacing w:after="0" w:line="240" w:lineRule="auto"/>
              <w:jc w:val="both"/>
            </w:pPr>
            <w:r>
              <w:rPr>
                <w:rFonts w:cs="Calibri"/>
                <w:color w:val="000000" w:themeColor="text1"/>
                <w:sz w:val="20"/>
                <w:szCs w:val="20"/>
              </w:rPr>
              <w:t>17,2686</w:t>
            </w:r>
          </w:p>
        </w:tc>
      </w:tr>
      <w:tr w:rsidR="00527B8C" w14:paraId="09DDDC6D"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1EA3743D" w14:textId="77777777">
            <w:pPr>
              <w:spacing w:after="0" w:line="240" w:lineRule="auto"/>
              <w:jc w:val="both"/>
            </w:pPr>
            <w:r>
              <w:rPr>
                <w:rFonts w:cs="Calibri"/>
                <w:color w:val="000000" w:themeColor="text1"/>
                <w:sz w:val="20"/>
                <w:szCs w:val="20"/>
              </w:rPr>
              <w:t>FLV-09S</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7FAF0705" w14:textId="77777777">
            <w:pPr>
              <w:spacing w:after="0" w:line="240" w:lineRule="auto"/>
              <w:jc w:val="both"/>
            </w:pPr>
            <w:r>
              <w:rPr>
                <w:rFonts w:cs="Calibri"/>
                <w:color w:val="000000" w:themeColor="text1"/>
                <w:sz w:val="20"/>
                <w:szCs w:val="20"/>
              </w:rPr>
              <w:t>Arenas (de rio), gravas (de rio)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78AD5A3A" w14:textId="77777777">
            <w:pPr>
              <w:spacing w:after="0" w:line="240" w:lineRule="auto"/>
              <w:jc w:val="both"/>
            </w:pPr>
            <w:r>
              <w:rPr>
                <w:rFonts w:cs="Calibri"/>
                <w:color w:val="000000" w:themeColor="text1"/>
                <w:sz w:val="20"/>
                <w:szCs w:val="20"/>
              </w:rPr>
              <w:t>Orito</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2D6B5663" w14:textId="77777777">
            <w:pPr>
              <w:spacing w:after="0" w:line="240" w:lineRule="auto"/>
              <w:jc w:val="both"/>
            </w:pPr>
            <w:r>
              <w:rPr>
                <w:rFonts w:cs="Calibri"/>
                <w:color w:val="000000" w:themeColor="text1"/>
                <w:sz w:val="20"/>
                <w:szCs w:val="20"/>
              </w:rPr>
              <w:t>41,5312</w:t>
            </w:r>
          </w:p>
        </w:tc>
      </w:tr>
      <w:tr w:rsidR="00527B8C" w14:paraId="4DCBC26C"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1F5DE784" w14:textId="77777777">
            <w:pPr>
              <w:spacing w:after="0" w:line="240" w:lineRule="auto"/>
              <w:jc w:val="both"/>
            </w:pPr>
            <w:r>
              <w:rPr>
                <w:rFonts w:cs="Calibri"/>
                <w:color w:val="000000" w:themeColor="text1"/>
                <w:sz w:val="20"/>
                <w:szCs w:val="20"/>
              </w:rPr>
              <w:t>504190</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708762FB" w14:textId="77777777">
            <w:pPr>
              <w:spacing w:after="0" w:line="240" w:lineRule="auto"/>
              <w:jc w:val="both"/>
            </w:pPr>
            <w:r>
              <w:rPr>
                <w:rFonts w:cs="Calibri"/>
                <w:color w:val="000000" w:themeColor="text1"/>
                <w:sz w:val="20"/>
                <w:szCs w:val="20"/>
              </w:rPr>
              <w:t>Arenas (de rio), gravas (de rio)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14ED2196" w14:textId="77777777">
            <w:pPr>
              <w:spacing w:after="0" w:line="240" w:lineRule="auto"/>
              <w:jc w:val="both"/>
              <w:rPr>
                <w:rFonts w:cs="Calibri"/>
                <w:color w:val="000000" w:themeColor="text1"/>
                <w:sz w:val="20"/>
                <w:szCs w:val="20"/>
              </w:rPr>
            </w:pPr>
            <w:r>
              <w:rPr>
                <w:rFonts w:cs="Calibri"/>
                <w:color w:val="000000" w:themeColor="text1"/>
                <w:sz w:val="20"/>
                <w:szCs w:val="20"/>
              </w:rPr>
              <w:t>Valle del Guamuez</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682E2845" w14:textId="77777777">
            <w:pPr>
              <w:spacing w:after="0" w:line="240" w:lineRule="auto"/>
              <w:jc w:val="both"/>
            </w:pPr>
            <w:r>
              <w:rPr>
                <w:rFonts w:cs="Calibri"/>
                <w:color w:val="000000" w:themeColor="text1"/>
                <w:sz w:val="20"/>
                <w:szCs w:val="20"/>
              </w:rPr>
              <w:t>46,9205</w:t>
            </w:r>
          </w:p>
        </w:tc>
      </w:tr>
      <w:tr w:rsidR="00527B8C" w14:paraId="7F2BB50D"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1CEE7D88" w14:textId="77777777">
            <w:pPr>
              <w:spacing w:after="0" w:line="240" w:lineRule="auto"/>
              <w:jc w:val="both"/>
            </w:pPr>
            <w:r>
              <w:rPr>
                <w:rFonts w:cs="Calibri"/>
                <w:color w:val="000000" w:themeColor="text1"/>
                <w:sz w:val="20"/>
                <w:szCs w:val="20"/>
              </w:rPr>
              <w:t>503273</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04528B26" w14:textId="77777777">
            <w:pPr>
              <w:spacing w:after="0" w:line="240" w:lineRule="auto"/>
              <w:jc w:val="both"/>
            </w:pPr>
            <w:r>
              <w:rPr>
                <w:rFonts w:cs="Calibri"/>
                <w:color w:val="000000" w:themeColor="text1"/>
                <w:sz w:val="20"/>
                <w:szCs w:val="20"/>
              </w:rPr>
              <w:t>Arenas (de rio), gravas (de rio)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6DB0E1E1" w14:textId="77777777">
            <w:pPr>
              <w:spacing w:after="0" w:line="240" w:lineRule="auto"/>
              <w:jc w:val="both"/>
              <w:rPr>
                <w:rFonts w:cs="Calibri"/>
                <w:color w:val="000000" w:themeColor="text1"/>
                <w:sz w:val="20"/>
                <w:szCs w:val="20"/>
              </w:rPr>
            </w:pPr>
            <w:r>
              <w:rPr>
                <w:rFonts w:cs="Calibri"/>
                <w:color w:val="000000" w:themeColor="text1"/>
                <w:sz w:val="20"/>
                <w:szCs w:val="20"/>
              </w:rPr>
              <w:t>Villagarzón</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35D673F8" w14:textId="77777777">
            <w:pPr>
              <w:spacing w:after="0" w:line="240" w:lineRule="auto"/>
              <w:jc w:val="both"/>
            </w:pPr>
            <w:r>
              <w:rPr>
                <w:rFonts w:cs="Calibri"/>
                <w:color w:val="000000" w:themeColor="text1"/>
                <w:sz w:val="20"/>
                <w:szCs w:val="20"/>
              </w:rPr>
              <w:t>80,195</w:t>
            </w:r>
          </w:p>
        </w:tc>
      </w:tr>
      <w:tr w:rsidR="00527B8C" w14:paraId="5154A7FE"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4ACDAA42" w14:textId="77777777">
            <w:pPr>
              <w:spacing w:after="0" w:line="240" w:lineRule="auto"/>
              <w:jc w:val="both"/>
            </w:pPr>
            <w:r>
              <w:rPr>
                <w:rFonts w:cs="Calibri"/>
                <w:color w:val="000000" w:themeColor="text1"/>
                <w:sz w:val="20"/>
                <w:szCs w:val="20"/>
              </w:rPr>
              <w:t>OKF-11171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4F098D9A" w14:textId="77777777">
            <w:pPr>
              <w:spacing w:after="0" w:line="240" w:lineRule="auto"/>
              <w:jc w:val="both"/>
            </w:pPr>
            <w:r>
              <w:rPr>
                <w:rFonts w:cs="Calibri"/>
                <w:color w:val="000000" w:themeColor="text1"/>
                <w:sz w:val="20"/>
                <w:szCs w:val="20"/>
              </w:rPr>
              <w:t>Arenas, gravas</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3C8A2ECD" w14:textId="77777777">
            <w:pPr>
              <w:spacing w:after="0" w:line="240" w:lineRule="auto"/>
              <w:jc w:val="both"/>
            </w:pPr>
            <w:r>
              <w:rPr>
                <w:rFonts w:cs="Calibri"/>
                <w:color w:val="000000" w:themeColor="text1"/>
                <w:sz w:val="20"/>
                <w:szCs w:val="20"/>
              </w:rPr>
              <w:t>Puerto Asís</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1C3250DB" w14:textId="77777777">
            <w:pPr>
              <w:spacing w:after="0" w:line="240" w:lineRule="auto"/>
              <w:jc w:val="both"/>
            </w:pPr>
            <w:r>
              <w:rPr>
                <w:rFonts w:cs="Calibri"/>
                <w:color w:val="000000" w:themeColor="text1"/>
                <w:sz w:val="20"/>
                <w:szCs w:val="20"/>
              </w:rPr>
              <w:t>57,4459</w:t>
            </w:r>
          </w:p>
        </w:tc>
      </w:tr>
      <w:tr w:rsidR="00527B8C" w14:paraId="684D8989"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37BD8B39" w14:textId="77777777">
            <w:pPr>
              <w:spacing w:after="0" w:line="240" w:lineRule="auto"/>
              <w:jc w:val="both"/>
            </w:pPr>
            <w:r>
              <w:rPr>
                <w:rFonts w:cs="Calibri"/>
                <w:color w:val="000000" w:themeColor="text1"/>
                <w:sz w:val="20"/>
                <w:szCs w:val="20"/>
              </w:rPr>
              <w:t>KAS-14301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7D92DC46" w14:textId="77777777">
            <w:pPr>
              <w:spacing w:after="0" w:line="240" w:lineRule="auto"/>
              <w:jc w:val="both"/>
            </w:pPr>
            <w:r>
              <w:rPr>
                <w:rFonts w:cs="Calibri"/>
                <w:color w:val="000000" w:themeColor="text1"/>
                <w:sz w:val="20"/>
                <w:szCs w:val="20"/>
              </w:rPr>
              <w:t>Arenas, gravas</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06197014" w14:textId="77777777">
            <w:pPr>
              <w:spacing w:after="0" w:line="240" w:lineRule="auto"/>
              <w:jc w:val="both"/>
            </w:pPr>
            <w:r>
              <w:rPr>
                <w:rFonts w:cs="Calibri"/>
                <w:color w:val="000000" w:themeColor="text1"/>
                <w:sz w:val="20"/>
                <w:szCs w:val="20"/>
              </w:rPr>
              <w:t>Piamonte, Puerto Guzmán</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18ED727B" w14:textId="77777777">
            <w:pPr>
              <w:spacing w:after="0" w:line="240" w:lineRule="auto"/>
              <w:jc w:val="both"/>
            </w:pPr>
            <w:r>
              <w:rPr>
                <w:rFonts w:cs="Calibri"/>
                <w:color w:val="000000" w:themeColor="text1"/>
                <w:sz w:val="20"/>
                <w:szCs w:val="20"/>
              </w:rPr>
              <w:t>27,9948</w:t>
            </w:r>
          </w:p>
        </w:tc>
      </w:tr>
      <w:tr w:rsidR="00527B8C" w14:paraId="28AF7987"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01A23719" w14:textId="77777777">
            <w:pPr>
              <w:spacing w:after="0" w:line="240" w:lineRule="auto"/>
              <w:jc w:val="both"/>
            </w:pPr>
            <w:r>
              <w:rPr>
                <w:rFonts w:cs="Calibri"/>
                <w:color w:val="000000" w:themeColor="text1"/>
                <w:sz w:val="20"/>
                <w:szCs w:val="20"/>
              </w:rPr>
              <w:t>QBD-15391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472863E4" w14:textId="77777777">
            <w:pPr>
              <w:spacing w:after="0" w:line="240" w:lineRule="auto"/>
              <w:jc w:val="both"/>
            </w:pPr>
            <w:r>
              <w:rPr>
                <w:rFonts w:cs="Calibri"/>
                <w:color w:val="000000" w:themeColor="text1"/>
                <w:sz w:val="20"/>
                <w:szCs w:val="20"/>
              </w:rPr>
              <w:t>Arenas (de rio), gravas (de rio), recebo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738D094D" w14:textId="77777777">
            <w:pPr>
              <w:spacing w:after="0" w:line="240" w:lineRule="auto"/>
              <w:jc w:val="both"/>
            </w:pPr>
            <w:r>
              <w:rPr>
                <w:rFonts w:cs="Calibri"/>
                <w:color w:val="000000" w:themeColor="text1"/>
                <w:sz w:val="20"/>
                <w:szCs w:val="20"/>
              </w:rPr>
              <w:t>Orito</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04AAD4B9" w14:textId="77777777">
            <w:pPr>
              <w:spacing w:after="0" w:line="240" w:lineRule="auto"/>
              <w:jc w:val="both"/>
            </w:pPr>
            <w:r>
              <w:rPr>
                <w:rFonts w:cs="Calibri"/>
                <w:color w:val="000000" w:themeColor="text1"/>
                <w:sz w:val="20"/>
                <w:szCs w:val="20"/>
              </w:rPr>
              <w:t>75,317</w:t>
            </w:r>
          </w:p>
        </w:tc>
      </w:tr>
      <w:tr w:rsidR="00527B8C" w14:paraId="31E30BDE"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6ED5EBFC" w14:textId="77777777">
            <w:pPr>
              <w:spacing w:after="0" w:line="240" w:lineRule="auto"/>
              <w:jc w:val="both"/>
            </w:pPr>
            <w:r>
              <w:rPr>
                <w:rFonts w:cs="Calibri"/>
                <w:color w:val="000000" w:themeColor="text1"/>
                <w:sz w:val="20"/>
                <w:szCs w:val="20"/>
              </w:rPr>
              <w:t>EL9-141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1FCB0860" w14:textId="77777777">
            <w:pPr>
              <w:spacing w:after="0" w:line="240" w:lineRule="auto"/>
              <w:jc w:val="both"/>
            </w:pPr>
            <w:r>
              <w:rPr>
                <w:rFonts w:cs="Calibri"/>
                <w:color w:val="000000" w:themeColor="text1"/>
                <w:sz w:val="20"/>
                <w:szCs w:val="20"/>
              </w:rPr>
              <w:t>Arenas, gravas</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4B0D1F05" w14:textId="77777777">
            <w:pPr>
              <w:spacing w:after="0" w:line="240" w:lineRule="auto"/>
              <w:jc w:val="both"/>
            </w:pPr>
            <w:r>
              <w:rPr>
                <w:rFonts w:cs="Calibri"/>
                <w:color w:val="000000" w:themeColor="text1"/>
                <w:sz w:val="20"/>
                <w:szCs w:val="20"/>
              </w:rPr>
              <w:t>Orito</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516BDBFB" w14:textId="77777777">
            <w:pPr>
              <w:spacing w:after="0" w:line="240" w:lineRule="auto"/>
              <w:jc w:val="both"/>
            </w:pPr>
            <w:r>
              <w:rPr>
                <w:rFonts w:cs="Calibri"/>
                <w:color w:val="000000" w:themeColor="text1"/>
                <w:sz w:val="20"/>
                <w:szCs w:val="20"/>
              </w:rPr>
              <w:t>3,0604</w:t>
            </w:r>
          </w:p>
        </w:tc>
      </w:tr>
      <w:tr w:rsidR="00527B8C" w14:paraId="6077BD4D"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6E4B1BC3" w14:textId="77777777">
            <w:pPr>
              <w:spacing w:after="0" w:line="240" w:lineRule="auto"/>
              <w:jc w:val="both"/>
            </w:pPr>
            <w:r>
              <w:rPr>
                <w:rFonts w:cs="Calibri"/>
                <w:color w:val="000000" w:themeColor="text1"/>
                <w:sz w:val="20"/>
                <w:szCs w:val="20"/>
              </w:rPr>
              <w:t>503987</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5274F90E" w14:textId="77777777">
            <w:pPr>
              <w:spacing w:after="0" w:line="240" w:lineRule="auto"/>
              <w:jc w:val="both"/>
            </w:pPr>
            <w:r>
              <w:rPr>
                <w:rFonts w:cs="Calibri"/>
                <w:color w:val="000000" w:themeColor="text1"/>
                <w:sz w:val="20"/>
                <w:szCs w:val="20"/>
              </w:rPr>
              <w:t>Arenas (de rio), gravas (de rio)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6C83799B" w14:textId="77777777">
            <w:pPr>
              <w:spacing w:after="0" w:line="240" w:lineRule="auto"/>
              <w:jc w:val="both"/>
              <w:rPr>
                <w:rFonts w:cs="Calibri"/>
                <w:color w:val="000000" w:themeColor="text1"/>
                <w:sz w:val="20"/>
                <w:szCs w:val="20"/>
              </w:rPr>
            </w:pPr>
            <w:r>
              <w:rPr>
                <w:rFonts w:cs="Calibri"/>
                <w:color w:val="000000" w:themeColor="text1"/>
                <w:sz w:val="20"/>
                <w:szCs w:val="20"/>
              </w:rPr>
              <w:t>Orito, Valle del Guamuez</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0ADD2241" w14:textId="77777777">
            <w:pPr>
              <w:spacing w:after="0" w:line="240" w:lineRule="auto"/>
              <w:jc w:val="both"/>
            </w:pPr>
            <w:r>
              <w:rPr>
                <w:rFonts w:cs="Calibri"/>
                <w:color w:val="000000" w:themeColor="text1"/>
                <w:sz w:val="20"/>
                <w:szCs w:val="20"/>
              </w:rPr>
              <w:t>71,5999</w:t>
            </w:r>
          </w:p>
        </w:tc>
      </w:tr>
      <w:tr w:rsidR="00527B8C" w14:paraId="6AD03067"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6CA61AD2" w14:textId="77777777">
            <w:pPr>
              <w:spacing w:after="0" w:line="240" w:lineRule="auto"/>
              <w:jc w:val="both"/>
            </w:pPr>
            <w:r>
              <w:rPr>
                <w:rFonts w:cs="Calibri"/>
                <w:color w:val="000000" w:themeColor="text1"/>
                <w:sz w:val="20"/>
                <w:szCs w:val="20"/>
              </w:rPr>
              <w:t>KBR-15221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3B5FE10D" w14:textId="77777777">
            <w:pPr>
              <w:spacing w:after="0" w:line="240" w:lineRule="auto"/>
              <w:jc w:val="both"/>
            </w:pPr>
            <w:r>
              <w:rPr>
                <w:rFonts w:cs="Calibri"/>
                <w:color w:val="000000" w:themeColor="text1"/>
                <w:sz w:val="20"/>
                <w:szCs w:val="20"/>
              </w:rPr>
              <w:t>Arenas (de rio), gravas (de rio)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684985D0" w14:textId="77777777">
            <w:pPr>
              <w:spacing w:after="0" w:line="240" w:lineRule="auto"/>
              <w:jc w:val="both"/>
            </w:pPr>
            <w:r>
              <w:rPr>
                <w:rFonts w:cs="Calibri"/>
                <w:color w:val="000000" w:themeColor="text1"/>
                <w:sz w:val="20"/>
                <w:szCs w:val="20"/>
              </w:rPr>
              <w:t>Orito</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679F7173" w14:textId="77777777">
            <w:pPr>
              <w:spacing w:after="0" w:line="240" w:lineRule="auto"/>
              <w:jc w:val="both"/>
            </w:pPr>
            <w:r>
              <w:rPr>
                <w:rFonts w:cs="Calibri"/>
                <w:color w:val="000000" w:themeColor="text1"/>
                <w:sz w:val="20"/>
                <w:szCs w:val="20"/>
              </w:rPr>
              <w:t>86,8651</w:t>
            </w:r>
          </w:p>
        </w:tc>
      </w:tr>
      <w:tr w:rsidR="00527B8C" w14:paraId="4EF4C078"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4FDDC146" w14:textId="77777777">
            <w:pPr>
              <w:spacing w:after="0" w:line="240" w:lineRule="auto"/>
              <w:jc w:val="both"/>
            </w:pPr>
            <w:r>
              <w:rPr>
                <w:rFonts w:cs="Calibri"/>
                <w:color w:val="000000" w:themeColor="text1"/>
                <w:sz w:val="20"/>
                <w:szCs w:val="20"/>
              </w:rPr>
              <w:t>IHR-14301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094C7CF7" w14:textId="77777777">
            <w:pPr>
              <w:spacing w:after="0" w:line="240" w:lineRule="auto"/>
              <w:jc w:val="both"/>
            </w:pPr>
            <w:r>
              <w:rPr>
                <w:rFonts w:cs="Calibri"/>
                <w:color w:val="000000" w:themeColor="text1"/>
                <w:sz w:val="20"/>
                <w:szCs w:val="20"/>
              </w:rPr>
              <w:t>Gravas</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5662BDBC" w14:textId="77777777">
            <w:pPr>
              <w:spacing w:after="0" w:line="240" w:lineRule="auto"/>
              <w:jc w:val="both"/>
              <w:rPr>
                <w:rFonts w:cs="Calibri"/>
                <w:color w:val="000000" w:themeColor="text1"/>
                <w:sz w:val="20"/>
                <w:szCs w:val="20"/>
              </w:rPr>
            </w:pPr>
            <w:r>
              <w:rPr>
                <w:rFonts w:cs="Calibri"/>
                <w:color w:val="000000" w:themeColor="text1"/>
                <w:sz w:val="20"/>
                <w:szCs w:val="20"/>
              </w:rPr>
              <w:t>Villagarzón</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2515C35E" w14:textId="77777777">
            <w:pPr>
              <w:spacing w:after="0" w:line="240" w:lineRule="auto"/>
              <w:jc w:val="both"/>
            </w:pPr>
            <w:r>
              <w:rPr>
                <w:rFonts w:cs="Calibri"/>
                <w:color w:val="000000" w:themeColor="text1"/>
                <w:sz w:val="20"/>
                <w:szCs w:val="20"/>
              </w:rPr>
              <w:t>28,8188</w:t>
            </w:r>
          </w:p>
        </w:tc>
      </w:tr>
      <w:tr w:rsidR="00527B8C" w14:paraId="1A521C3E"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1E8894D6" w14:textId="77777777">
            <w:pPr>
              <w:spacing w:after="0" w:line="240" w:lineRule="auto"/>
              <w:jc w:val="both"/>
            </w:pPr>
            <w:r>
              <w:rPr>
                <w:rFonts w:cs="Calibri"/>
                <w:color w:val="000000" w:themeColor="text1"/>
                <w:sz w:val="20"/>
                <w:szCs w:val="20"/>
              </w:rPr>
              <w:t>KFA-15471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78C29607" w14:textId="77777777">
            <w:pPr>
              <w:spacing w:after="0" w:line="240" w:lineRule="auto"/>
              <w:jc w:val="both"/>
            </w:pPr>
            <w:r>
              <w:rPr>
                <w:rFonts w:cs="Calibri"/>
                <w:color w:val="000000" w:themeColor="text1"/>
                <w:sz w:val="20"/>
                <w:szCs w:val="20"/>
              </w:rPr>
              <w:t>Arenas, gravas</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5C0284E6" w14:textId="77777777">
            <w:pPr>
              <w:spacing w:after="0" w:line="240" w:lineRule="auto"/>
              <w:jc w:val="both"/>
              <w:rPr>
                <w:rFonts w:cs="Calibri"/>
                <w:color w:val="000000" w:themeColor="text1"/>
                <w:sz w:val="20"/>
                <w:szCs w:val="20"/>
              </w:rPr>
            </w:pPr>
            <w:r>
              <w:rPr>
                <w:rFonts w:cs="Calibri"/>
                <w:color w:val="000000" w:themeColor="text1"/>
                <w:sz w:val="20"/>
                <w:szCs w:val="20"/>
              </w:rPr>
              <w:t>Mocoa</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67B15D38" w14:textId="77777777">
            <w:pPr>
              <w:spacing w:after="0" w:line="240" w:lineRule="auto"/>
              <w:jc w:val="both"/>
            </w:pPr>
            <w:r>
              <w:rPr>
                <w:rFonts w:cs="Calibri"/>
                <w:color w:val="000000" w:themeColor="text1"/>
                <w:sz w:val="20"/>
                <w:szCs w:val="20"/>
              </w:rPr>
              <w:t>89,91</w:t>
            </w:r>
          </w:p>
        </w:tc>
      </w:tr>
      <w:tr w:rsidR="00527B8C" w14:paraId="41C4903A"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5B122367" w14:textId="77777777">
            <w:pPr>
              <w:spacing w:after="0" w:line="240" w:lineRule="auto"/>
              <w:jc w:val="both"/>
            </w:pPr>
            <w:r>
              <w:rPr>
                <w:rFonts w:cs="Calibri"/>
                <w:color w:val="000000" w:themeColor="text1"/>
                <w:sz w:val="20"/>
                <w:szCs w:val="20"/>
              </w:rPr>
              <w:t>511000</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61E51F0D" w14:textId="77777777">
            <w:pPr>
              <w:spacing w:after="0" w:line="240" w:lineRule="auto"/>
              <w:jc w:val="both"/>
            </w:pPr>
            <w:r>
              <w:rPr>
                <w:rFonts w:cs="Calibri"/>
                <w:color w:val="000000" w:themeColor="text1"/>
                <w:sz w:val="20"/>
                <w:szCs w:val="20"/>
              </w:rPr>
              <w:t>Arenas (de rio), gravas (de rio)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2DE5207F" w14:textId="77777777">
            <w:pPr>
              <w:spacing w:after="0" w:line="240" w:lineRule="auto"/>
              <w:jc w:val="both"/>
            </w:pPr>
            <w:r>
              <w:rPr>
                <w:rFonts w:cs="Calibri"/>
                <w:color w:val="000000" w:themeColor="text1"/>
                <w:sz w:val="20"/>
                <w:szCs w:val="20"/>
              </w:rPr>
              <w:t>San Miguel (La Dorada)</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4A1C7BC2" w14:textId="77777777">
            <w:pPr>
              <w:spacing w:after="0" w:line="240" w:lineRule="auto"/>
              <w:jc w:val="both"/>
            </w:pPr>
            <w:r>
              <w:rPr>
                <w:rFonts w:cs="Calibri"/>
                <w:color w:val="000000" w:themeColor="text1"/>
                <w:sz w:val="20"/>
                <w:szCs w:val="20"/>
              </w:rPr>
              <w:t>13,5828</w:t>
            </w:r>
          </w:p>
        </w:tc>
      </w:tr>
      <w:tr w:rsidR="00527B8C" w14:paraId="695E8CD6"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2CDDD73D" w14:textId="77777777">
            <w:pPr>
              <w:spacing w:after="0" w:line="240" w:lineRule="auto"/>
              <w:jc w:val="both"/>
            </w:pPr>
            <w:r>
              <w:rPr>
                <w:rFonts w:cs="Calibri"/>
                <w:color w:val="000000" w:themeColor="text1"/>
                <w:sz w:val="20"/>
                <w:szCs w:val="20"/>
              </w:rPr>
              <w:t>HEG-087</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559714A7" w14:textId="77777777">
            <w:pPr>
              <w:spacing w:after="0" w:line="240" w:lineRule="auto"/>
              <w:jc w:val="both"/>
            </w:pPr>
            <w:r>
              <w:rPr>
                <w:rFonts w:cs="Calibri"/>
                <w:color w:val="000000" w:themeColor="text1"/>
                <w:sz w:val="20"/>
                <w:szCs w:val="20"/>
              </w:rPr>
              <w:t>Gravas (de rio)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20002E2D" w14:textId="77777777">
            <w:pPr>
              <w:spacing w:after="0" w:line="240" w:lineRule="auto"/>
              <w:jc w:val="both"/>
            </w:pPr>
            <w:r>
              <w:rPr>
                <w:rFonts w:cs="Calibri"/>
                <w:color w:val="000000" w:themeColor="text1"/>
                <w:sz w:val="20"/>
                <w:szCs w:val="20"/>
              </w:rPr>
              <w:t>Orito</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41F83037" w14:textId="77777777">
            <w:pPr>
              <w:spacing w:after="0" w:line="240" w:lineRule="auto"/>
              <w:jc w:val="both"/>
            </w:pPr>
            <w:r>
              <w:rPr>
                <w:rFonts w:cs="Calibri"/>
                <w:color w:val="000000" w:themeColor="text1"/>
                <w:sz w:val="20"/>
                <w:szCs w:val="20"/>
              </w:rPr>
              <w:t>26,9972</w:t>
            </w:r>
          </w:p>
        </w:tc>
      </w:tr>
      <w:tr w:rsidR="00527B8C" w14:paraId="6B1D6D26"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6B4DEC4B" w14:textId="77777777">
            <w:pPr>
              <w:spacing w:after="0" w:line="240" w:lineRule="auto"/>
              <w:jc w:val="both"/>
            </w:pPr>
            <w:r>
              <w:rPr>
                <w:rFonts w:cs="Calibri"/>
                <w:color w:val="000000" w:themeColor="text1"/>
                <w:sz w:val="20"/>
                <w:szCs w:val="20"/>
              </w:rPr>
              <w:t>504029</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276EF16F" w14:textId="77777777">
            <w:pPr>
              <w:spacing w:after="0" w:line="240" w:lineRule="auto"/>
              <w:jc w:val="both"/>
            </w:pPr>
            <w:r>
              <w:rPr>
                <w:rFonts w:cs="Calibri"/>
                <w:color w:val="000000" w:themeColor="text1"/>
                <w:sz w:val="20"/>
                <w:szCs w:val="20"/>
              </w:rPr>
              <w:t>Arenas (de rio), gravas (de rio)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6630F049" w14:textId="77777777">
            <w:pPr>
              <w:spacing w:after="0" w:line="240" w:lineRule="auto"/>
              <w:jc w:val="both"/>
            </w:pPr>
            <w:r>
              <w:rPr>
                <w:rFonts w:cs="Calibri"/>
                <w:color w:val="000000" w:themeColor="text1"/>
                <w:sz w:val="20"/>
                <w:szCs w:val="20"/>
              </w:rPr>
              <w:t>Orito</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7E7F0CDD" w14:textId="77777777">
            <w:pPr>
              <w:spacing w:after="0" w:line="240" w:lineRule="auto"/>
              <w:jc w:val="both"/>
            </w:pPr>
            <w:r>
              <w:rPr>
                <w:rFonts w:cs="Calibri"/>
                <w:color w:val="000000" w:themeColor="text1"/>
                <w:sz w:val="20"/>
                <w:szCs w:val="20"/>
              </w:rPr>
              <w:t>19,7533</w:t>
            </w:r>
          </w:p>
        </w:tc>
      </w:tr>
      <w:tr w:rsidR="00527B8C" w14:paraId="5E62C8F3"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62F1362D" w14:textId="77777777">
            <w:pPr>
              <w:spacing w:after="0" w:line="240" w:lineRule="auto"/>
              <w:jc w:val="both"/>
            </w:pPr>
            <w:r>
              <w:rPr>
                <w:rFonts w:cs="Calibri"/>
                <w:color w:val="000000" w:themeColor="text1"/>
                <w:sz w:val="20"/>
                <w:szCs w:val="20"/>
              </w:rPr>
              <w:t>QLI-09291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5AB8416D" w14:textId="77777777">
            <w:pPr>
              <w:spacing w:after="0" w:line="240" w:lineRule="auto"/>
              <w:jc w:val="both"/>
            </w:pPr>
            <w:r>
              <w:rPr>
                <w:rFonts w:cs="Calibri"/>
                <w:color w:val="000000" w:themeColor="text1"/>
                <w:sz w:val="20"/>
                <w:szCs w:val="20"/>
              </w:rPr>
              <w:t>Arenas (de rio), gravas (de rio)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69B2CDB5" w14:textId="77777777">
            <w:pPr>
              <w:spacing w:after="0" w:line="240" w:lineRule="auto"/>
              <w:jc w:val="both"/>
              <w:rPr>
                <w:rFonts w:cs="Calibri"/>
                <w:color w:val="000000" w:themeColor="text1"/>
                <w:sz w:val="20"/>
                <w:szCs w:val="20"/>
              </w:rPr>
            </w:pPr>
            <w:r>
              <w:rPr>
                <w:rFonts w:cs="Calibri"/>
                <w:color w:val="000000" w:themeColor="text1"/>
                <w:sz w:val="20"/>
                <w:szCs w:val="20"/>
              </w:rPr>
              <w:t>Orito, Valle del Guamuez</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0B8A942A" w14:textId="77777777">
            <w:pPr>
              <w:spacing w:after="0" w:line="240" w:lineRule="auto"/>
              <w:jc w:val="both"/>
            </w:pPr>
            <w:r>
              <w:rPr>
                <w:rFonts w:cs="Calibri"/>
                <w:color w:val="000000" w:themeColor="text1"/>
                <w:sz w:val="20"/>
                <w:szCs w:val="20"/>
              </w:rPr>
              <w:t>39,5022</w:t>
            </w:r>
          </w:p>
        </w:tc>
      </w:tr>
      <w:tr w:rsidR="00527B8C" w14:paraId="56BBFE49"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0EC40D3D" w14:textId="77777777">
            <w:pPr>
              <w:spacing w:after="0" w:line="240" w:lineRule="auto"/>
              <w:jc w:val="both"/>
            </w:pPr>
            <w:r>
              <w:rPr>
                <w:rFonts w:cs="Calibri"/>
                <w:color w:val="000000" w:themeColor="text1"/>
                <w:sz w:val="20"/>
                <w:szCs w:val="20"/>
              </w:rPr>
              <w:t>FLV-09U</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123C9369" w14:textId="77777777">
            <w:pPr>
              <w:spacing w:after="0" w:line="240" w:lineRule="auto"/>
              <w:jc w:val="both"/>
            </w:pPr>
            <w:r>
              <w:rPr>
                <w:rFonts w:cs="Calibri"/>
                <w:color w:val="000000" w:themeColor="text1"/>
                <w:sz w:val="20"/>
                <w:szCs w:val="20"/>
              </w:rPr>
              <w:t>Gravas</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38EFEA1A" w14:textId="77777777">
            <w:pPr>
              <w:spacing w:after="0" w:line="240" w:lineRule="auto"/>
              <w:jc w:val="both"/>
            </w:pPr>
            <w:r>
              <w:rPr>
                <w:rFonts w:cs="Calibri"/>
                <w:color w:val="000000" w:themeColor="text1"/>
                <w:sz w:val="20"/>
                <w:szCs w:val="20"/>
              </w:rPr>
              <w:t>Orito</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66F4C1CF" w14:textId="77777777">
            <w:pPr>
              <w:spacing w:after="0" w:line="240" w:lineRule="auto"/>
              <w:jc w:val="both"/>
            </w:pPr>
            <w:r>
              <w:rPr>
                <w:rFonts w:cs="Calibri"/>
                <w:color w:val="000000" w:themeColor="text1"/>
                <w:sz w:val="20"/>
                <w:szCs w:val="20"/>
              </w:rPr>
              <w:t>38,1117</w:t>
            </w:r>
          </w:p>
        </w:tc>
      </w:tr>
      <w:tr w:rsidR="00527B8C" w14:paraId="0B437989"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0517196E" w14:textId="77777777">
            <w:pPr>
              <w:spacing w:after="0" w:line="240" w:lineRule="auto"/>
              <w:jc w:val="both"/>
            </w:pPr>
            <w:r>
              <w:rPr>
                <w:rFonts w:cs="Calibri"/>
                <w:color w:val="000000" w:themeColor="text1"/>
                <w:sz w:val="20"/>
                <w:szCs w:val="20"/>
              </w:rPr>
              <w:t>ICQ-08107</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62373B72" w14:textId="77777777">
            <w:pPr>
              <w:spacing w:after="0" w:line="240" w:lineRule="auto"/>
              <w:jc w:val="both"/>
            </w:pPr>
            <w:r>
              <w:rPr>
                <w:rFonts w:cs="Calibri"/>
                <w:color w:val="000000" w:themeColor="text1"/>
                <w:sz w:val="20"/>
                <w:szCs w:val="20"/>
              </w:rPr>
              <w:t>Gravas (de rio)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7BF05DE0" w14:textId="77777777">
            <w:pPr>
              <w:spacing w:after="0" w:line="240" w:lineRule="auto"/>
              <w:jc w:val="both"/>
            </w:pPr>
            <w:r>
              <w:rPr>
                <w:rFonts w:cs="Calibri"/>
                <w:color w:val="000000" w:themeColor="text1"/>
                <w:sz w:val="20"/>
                <w:szCs w:val="20"/>
              </w:rPr>
              <w:t>Orito</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4F4E55EE" w14:textId="77777777">
            <w:pPr>
              <w:spacing w:after="0" w:line="240" w:lineRule="auto"/>
              <w:jc w:val="both"/>
            </w:pPr>
            <w:r>
              <w:rPr>
                <w:rFonts w:cs="Calibri"/>
                <w:color w:val="000000" w:themeColor="text1"/>
                <w:sz w:val="20"/>
                <w:szCs w:val="20"/>
              </w:rPr>
              <w:t>23,3396</w:t>
            </w:r>
          </w:p>
        </w:tc>
      </w:tr>
      <w:tr w:rsidR="00527B8C" w14:paraId="0C55DA08"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369A29BA" w14:textId="77777777">
            <w:pPr>
              <w:spacing w:after="0" w:line="240" w:lineRule="auto"/>
              <w:jc w:val="both"/>
            </w:pPr>
            <w:r>
              <w:rPr>
                <w:rFonts w:cs="Calibri"/>
                <w:color w:val="000000" w:themeColor="text1"/>
                <w:sz w:val="20"/>
                <w:szCs w:val="20"/>
              </w:rPr>
              <w:t>EH6-161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533F9DCF" w14:textId="77777777">
            <w:pPr>
              <w:spacing w:after="0" w:line="240" w:lineRule="auto"/>
              <w:jc w:val="both"/>
            </w:pPr>
            <w:r>
              <w:rPr>
                <w:rFonts w:cs="Calibri"/>
                <w:color w:val="000000" w:themeColor="text1"/>
                <w:sz w:val="20"/>
                <w:szCs w:val="20"/>
              </w:rPr>
              <w:t>Arenas, gravas</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4A95F4DA" w14:textId="77777777">
            <w:pPr>
              <w:spacing w:after="0" w:line="240" w:lineRule="auto"/>
              <w:jc w:val="both"/>
            </w:pPr>
            <w:r>
              <w:rPr>
                <w:rFonts w:cs="Calibri"/>
                <w:color w:val="000000" w:themeColor="text1"/>
                <w:sz w:val="20"/>
                <w:szCs w:val="20"/>
              </w:rPr>
              <w:t>Orito</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75DF2330" w14:textId="77777777">
            <w:pPr>
              <w:spacing w:after="0" w:line="240" w:lineRule="auto"/>
              <w:jc w:val="both"/>
            </w:pPr>
            <w:r>
              <w:rPr>
                <w:rFonts w:cs="Calibri"/>
                <w:color w:val="000000" w:themeColor="text1"/>
                <w:sz w:val="20"/>
                <w:szCs w:val="20"/>
              </w:rPr>
              <w:t>22,2985</w:t>
            </w:r>
          </w:p>
        </w:tc>
      </w:tr>
      <w:tr w:rsidR="00527B8C" w14:paraId="7D4FCE13"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549A2678" w14:textId="77777777">
            <w:pPr>
              <w:spacing w:after="0" w:line="240" w:lineRule="auto"/>
              <w:jc w:val="both"/>
            </w:pPr>
            <w:r>
              <w:rPr>
                <w:rFonts w:cs="Calibri"/>
                <w:color w:val="000000" w:themeColor="text1"/>
                <w:sz w:val="20"/>
                <w:szCs w:val="20"/>
              </w:rPr>
              <w:t>JCJ-11122X</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38C2A0F6" w14:textId="77777777">
            <w:pPr>
              <w:spacing w:after="0" w:line="240" w:lineRule="auto"/>
              <w:jc w:val="both"/>
            </w:pPr>
            <w:r>
              <w:rPr>
                <w:rFonts w:cs="Calibri"/>
                <w:color w:val="000000" w:themeColor="text1"/>
                <w:sz w:val="20"/>
                <w:szCs w:val="20"/>
              </w:rPr>
              <w:t>Arenas, gravas</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1DA5CF44" w14:textId="77777777">
            <w:pPr>
              <w:spacing w:after="0" w:line="240" w:lineRule="auto"/>
              <w:jc w:val="both"/>
              <w:rPr>
                <w:rFonts w:cs="Calibri"/>
                <w:color w:val="000000" w:themeColor="text1"/>
                <w:sz w:val="20"/>
                <w:szCs w:val="20"/>
              </w:rPr>
            </w:pPr>
            <w:r>
              <w:rPr>
                <w:rFonts w:cs="Calibri"/>
                <w:color w:val="000000" w:themeColor="text1"/>
                <w:sz w:val="20"/>
                <w:szCs w:val="20"/>
              </w:rPr>
              <w:t>Puerto Caicedo</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7D0D2BA2" w14:textId="77777777">
            <w:pPr>
              <w:spacing w:after="0" w:line="240" w:lineRule="auto"/>
              <w:jc w:val="both"/>
            </w:pPr>
            <w:r>
              <w:rPr>
                <w:rFonts w:cs="Calibri"/>
                <w:color w:val="000000" w:themeColor="text1"/>
                <w:sz w:val="20"/>
                <w:szCs w:val="20"/>
              </w:rPr>
              <w:t>139,6773</w:t>
            </w:r>
          </w:p>
        </w:tc>
      </w:tr>
      <w:tr w:rsidR="00527B8C" w14:paraId="712A275D"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79A1A237" w14:textId="77777777">
            <w:pPr>
              <w:spacing w:after="0" w:line="240" w:lineRule="auto"/>
              <w:jc w:val="both"/>
            </w:pPr>
            <w:r>
              <w:rPr>
                <w:rFonts w:cs="Calibri"/>
                <w:color w:val="000000" w:themeColor="text1"/>
                <w:sz w:val="20"/>
                <w:szCs w:val="20"/>
              </w:rPr>
              <w:t>GFR-111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48D906CD" w14:textId="77777777">
            <w:pPr>
              <w:spacing w:after="0" w:line="240" w:lineRule="auto"/>
              <w:jc w:val="both"/>
            </w:pPr>
            <w:r>
              <w:rPr>
                <w:rFonts w:cs="Calibri"/>
                <w:color w:val="000000" w:themeColor="text1"/>
                <w:sz w:val="20"/>
                <w:szCs w:val="20"/>
              </w:rPr>
              <w:t>Gravas</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48E6B2D3" w14:textId="77777777">
            <w:pPr>
              <w:spacing w:after="0" w:line="240" w:lineRule="auto"/>
              <w:jc w:val="both"/>
            </w:pPr>
            <w:r>
              <w:rPr>
                <w:rFonts w:cs="Calibri"/>
                <w:color w:val="000000" w:themeColor="text1"/>
                <w:sz w:val="20"/>
                <w:szCs w:val="20"/>
              </w:rPr>
              <w:t>Piamonte, Puerto Guzmán</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55672603" w14:textId="77777777">
            <w:pPr>
              <w:spacing w:after="0" w:line="240" w:lineRule="auto"/>
              <w:jc w:val="both"/>
            </w:pPr>
            <w:r>
              <w:rPr>
                <w:rFonts w:cs="Calibri"/>
                <w:color w:val="000000" w:themeColor="text1"/>
                <w:sz w:val="20"/>
                <w:szCs w:val="20"/>
              </w:rPr>
              <w:t>61,9126</w:t>
            </w:r>
          </w:p>
        </w:tc>
      </w:tr>
      <w:tr w:rsidR="00527B8C" w14:paraId="297777DA" w14:textId="77777777">
        <w:trPr>
          <w:trHeight w:val="513"/>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793518A9" w14:textId="77777777">
            <w:pPr>
              <w:spacing w:after="0" w:line="240" w:lineRule="auto"/>
              <w:jc w:val="both"/>
            </w:pPr>
            <w:r>
              <w:rPr>
                <w:rFonts w:cs="Calibri"/>
                <w:color w:val="000000" w:themeColor="text1"/>
                <w:sz w:val="20"/>
                <w:szCs w:val="20"/>
              </w:rPr>
              <w:t>KD2-11461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05001198" w14:textId="77777777">
            <w:pPr>
              <w:spacing w:after="0" w:line="240" w:lineRule="auto"/>
              <w:jc w:val="both"/>
            </w:pPr>
            <w:r>
              <w:rPr>
                <w:rFonts w:cs="Calibri"/>
                <w:color w:val="000000" w:themeColor="text1"/>
                <w:sz w:val="20"/>
                <w:szCs w:val="20"/>
              </w:rPr>
              <w:t>Arenas arcillosas, arenas feldespáticas, arenas industriales, arenas silíceas, gravas, recebo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6EAFB3FB" w14:textId="77777777">
            <w:pPr>
              <w:spacing w:after="0" w:line="240" w:lineRule="auto"/>
              <w:jc w:val="both"/>
            </w:pPr>
            <w:r>
              <w:rPr>
                <w:rFonts w:cs="Calibri"/>
                <w:color w:val="000000" w:themeColor="text1"/>
                <w:sz w:val="20"/>
                <w:szCs w:val="20"/>
              </w:rPr>
              <w:t>Orito</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65989420" w14:textId="77777777">
            <w:pPr>
              <w:spacing w:after="0" w:line="240" w:lineRule="auto"/>
              <w:jc w:val="both"/>
            </w:pPr>
            <w:r>
              <w:rPr>
                <w:rFonts w:cs="Calibri"/>
                <w:color w:val="000000" w:themeColor="text1"/>
                <w:sz w:val="20"/>
                <w:szCs w:val="20"/>
              </w:rPr>
              <w:t>61,3269</w:t>
            </w:r>
          </w:p>
        </w:tc>
      </w:tr>
      <w:tr w:rsidR="00527B8C" w14:paraId="24F02A36"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673DB312" w14:textId="77777777">
            <w:pPr>
              <w:spacing w:after="0" w:line="240" w:lineRule="auto"/>
              <w:jc w:val="both"/>
            </w:pPr>
            <w:r>
              <w:rPr>
                <w:rFonts w:cs="Calibri"/>
                <w:color w:val="000000" w:themeColor="text1"/>
                <w:sz w:val="20"/>
                <w:szCs w:val="20"/>
              </w:rPr>
              <w:t>FHO-111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450BA151" w14:textId="77777777">
            <w:pPr>
              <w:spacing w:after="0" w:line="240" w:lineRule="auto"/>
              <w:jc w:val="both"/>
            </w:pPr>
            <w:r>
              <w:rPr>
                <w:rFonts w:cs="Calibri"/>
                <w:color w:val="000000" w:themeColor="text1"/>
                <w:sz w:val="20"/>
                <w:szCs w:val="20"/>
              </w:rPr>
              <w:t>Gravas (de rio)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6A3869DA" w14:textId="77777777">
            <w:pPr>
              <w:spacing w:after="0" w:line="240" w:lineRule="auto"/>
              <w:jc w:val="both"/>
            </w:pPr>
            <w:r>
              <w:rPr>
                <w:rFonts w:cs="Calibri"/>
                <w:color w:val="000000" w:themeColor="text1"/>
                <w:sz w:val="20"/>
                <w:szCs w:val="20"/>
              </w:rPr>
              <w:t>Orito</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1141D0B3" w14:textId="77777777">
            <w:pPr>
              <w:spacing w:after="0" w:line="240" w:lineRule="auto"/>
              <w:jc w:val="both"/>
            </w:pPr>
            <w:r>
              <w:rPr>
                <w:rFonts w:cs="Calibri"/>
                <w:color w:val="000000" w:themeColor="text1"/>
                <w:sz w:val="20"/>
                <w:szCs w:val="20"/>
              </w:rPr>
              <w:t>55,8171</w:t>
            </w:r>
          </w:p>
        </w:tc>
      </w:tr>
      <w:tr w:rsidR="00527B8C" w14:paraId="4DE442D3"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2C902286" w14:textId="77777777">
            <w:pPr>
              <w:spacing w:after="0" w:line="240" w:lineRule="auto"/>
              <w:jc w:val="both"/>
            </w:pPr>
            <w:r>
              <w:rPr>
                <w:rFonts w:cs="Calibri"/>
                <w:color w:val="000000" w:themeColor="text1"/>
                <w:sz w:val="20"/>
                <w:szCs w:val="20"/>
              </w:rPr>
              <w:t>510024</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30893E68" w14:textId="77777777">
            <w:pPr>
              <w:spacing w:after="0" w:line="240" w:lineRule="auto"/>
              <w:jc w:val="both"/>
            </w:pPr>
            <w:r>
              <w:rPr>
                <w:rFonts w:cs="Calibri"/>
                <w:color w:val="000000" w:themeColor="text1"/>
                <w:sz w:val="20"/>
                <w:szCs w:val="20"/>
              </w:rPr>
              <w:t>Arenas (de rio), gravas (de rio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1C2BD973" w14:textId="77777777">
            <w:pPr>
              <w:spacing w:after="0" w:line="240" w:lineRule="auto"/>
              <w:jc w:val="both"/>
            </w:pPr>
            <w:r>
              <w:rPr>
                <w:rFonts w:cs="Calibri"/>
                <w:color w:val="000000" w:themeColor="text1"/>
                <w:sz w:val="20"/>
                <w:szCs w:val="20"/>
              </w:rPr>
              <w:t>Orito</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5941D70F" w14:textId="77777777">
            <w:pPr>
              <w:spacing w:after="0" w:line="240" w:lineRule="auto"/>
              <w:jc w:val="both"/>
            </w:pPr>
            <w:r>
              <w:rPr>
                <w:rFonts w:cs="Calibri"/>
                <w:color w:val="000000" w:themeColor="text1"/>
                <w:sz w:val="20"/>
                <w:szCs w:val="20"/>
              </w:rPr>
              <w:t>196,2712</w:t>
            </w:r>
          </w:p>
        </w:tc>
      </w:tr>
      <w:tr w:rsidR="00527B8C" w14:paraId="41D7291A"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48E47377" w14:textId="77777777">
            <w:pPr>
              <w:spacing w:after="0" w:line="240" w:lineRule="auto"/>
              <w:jc w:val="both"/>
            </w:pPr>
            <w:r>
              <w:rPr>
                <w:rFonts w:cs="Calibri"/>
                <w:color w:val="000000" w:themeColor="text1"/>
                <w:sz w:val="20"/>
                <w:szCs w:val="20"/>
              </w:rPr>
              <w:t>DFR-151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7F2E7BC3" w14:textId="77777777">
            <w:pPr>
              <w:spacing w:after="0" w:line="240" w:lineRule="auto"/>
              <w:jc w:val="both"/>
            </w:pPr>
            <w:r>
              <w:rPr>
                <w:rFonts w:cs="Calibri"/>
                <w:color w:val="000000" w:themeColor="text1"/>
                <w:sz w:val="20"/>
                <w:szCs w:val="20"/>
              </w:rPr>
              <w:t>Gravas</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354ED862" w14:textId="77777777">
            <w:pPr>
              <w:spacing w:after="0" w:line="240" w:lineRule="auto"/>
              <w:jc w:val="both"/>
              <w:rPr>
                <w:rFonts w:cs="Calibri"/>
                <w:color w:val="000000" w:themeColor="text1"/>
                <w:sz w:val="20"/>
                <w:szCs w:val="20"/>
              </w:rPr>
            </w:pPr>
            <w:r>
              <w:rPr>
                <w:rFonts w:cs="Calibri"/>
                <w:color w:val="000000" w:themeColor="text1"/>
                <w:sz w:val="20"/>
                <w:szCs w:val="20"/>
              </w:rPr>
              <w:t>Villagarzón</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2CCFFAD9" w14:textId="77777777">
            <w:pPr>
              <w:spacing w:after="0" w:line="240" w:lineRule="auto"/>
              <w:jc w:val="both"/>
            </w:pPr>
            <w:r>
              <w:rPr>
                <w:rFonts w:cs="Calibri"/>
                <w:color w:val="000000" w:themeColor="text1"/>
                <w:sz w:val="20"/>
                <w:szCs w:val="20"/>
              </w:rPr>
              <w:t>298,5269</w:t>
            </w:r>
          </w:p>
        </w:tc>
      </w:tr>
      <w:tr w:rsidR="00527B8C" w14:paraId="09E1EEB1" w14:textId="77777777">
        <w:trPr>
          <w:trHeight w:val="573"/>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7650B537" w14:textId="77777777">
            <w:pPr>
              <w:spacing w:after="0" w:line="240" w:lineRule="auto"/>
              <w:jc w:val="both"/>
            </w:pPr>
            <w:r>
              <w:rPr>
                <w:rFonts w:cs="Calibri"/>
                <w:color w:val="000000" w:themeColor="text1"/>
                <w:sz w:val="20"/>
                <w:szCs w:val="20"/>
              </w:rPr>
              <w:t>JAU-09481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1144F8F8" w14:textId="77777777">
            <w:pPr>
              <w:spacing w:after="0" w:line="240" w:lineRule="auto"/>
              <w:jc w:val="both"/>
            </w:pPr>
            <w:r>
              <w:rPr>
                <w:rFonts w:cs="Calibri"/>
                <w:color w:val="000000" w:themeColor="text1"/>
                <w:sz w:val="20"/>
                <w:szCs w:val="20"/>
              </w:rPr>
              <w:t>Arenas arcillosas, arenas feldespáticas, arenas industriales, arenas silíceas, gravas, recebo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1E0FEA7C" w14:textId="77777777">
            <w:pPr>
              <w:spacing w:after="0" w:line="240" w:lineRule="auto"/>
              <w:jc w:val="both"/>
              <w:rPr>
                <w:rFonts w:cs="Calibri"/>
                <w:color w:val="000000" w:themeColor="text1"/>
                <w:sz w:val="20"/>
                <w:szCs w:val="20"/>
              </w:rPr>
            </w:pPr>
            <w:r>
              <w:rPr>
                <w:rFonts w:cs="Calibri"/>
                <w:color w:val="000000" w:themeColor="text1"/>
                <w:sz w:val="20"/>
                <w:szCs w:val="20"/>
              </w:rPr>
              <w:t>Villagarzón</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63A346D9" w14:textId="77777777">
            <w:pPr>
              <w:spacing w:after="0" w:line="240" w:lineRule="auto"/>
              <w:jc w:val="both"/>
            </w:pPr>
            <w:r>
              <w:rPr>
                <w:rFonts w:cs="Calibri"/>
                <w:color w:val="000000" w:themeColor="text1"/>
                <w:sz w:val="20"/>
                <w:szCs w:val="20"/>
              </w:rPr>
              <w:t>98,4827</w:t>
            </w:r>
          </w:p>
        </w:tc>
      </w:tr>
      <w:tr w:rsidR="00527B8C" w14:paraId="03FD2782" w14:textId="77777777">
        <w:trPr>
          <w:trHeight w:val="678"/>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3B8EB971" w14:textId="77777777">
            <w:pPr>
              <w:spacing w:after="0" w:line="240" w:lineRule="auto"/>
              <w:jc w:val="both"/>
            </w:pPr>
            <w:r>
              <w:rPr>
                <w:rFonts w:cs="Calibri"/>
                <w:color w:val="000000" w:themeColor="text1"/>
                <w:sz w:val="20"/>
                <w:szCs w:val="20"/>
              </w:rPr>
              <w:t>SFS-15531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6D6D0648" w14:textId="77777777">
            <w:pPr>
              <w:spacing w:after="0" w:line="240" w:lineRule="auto"/>
              <w:jc w:val="both"/>
            </w:pPr>
            <w:r>
              <w:rPr>
                <w:rFonts w:cs="Calibri"/>
                <w:color w:val="000000" w:themeColor="text1"/>
                <w:sz w:val="20"/>
                <w:szCs w:val="20"/>
              </w:rPr>
              <w:t>Arenas arcillosas, arenas feldespáticas, arenas industriales, arenas silíceas, gravas, recebo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0A96D705" w14:textId="77777777">
            <w:pPr>
              <w:spacing w:after="0" w:line="240" w:lineRule="auto"/>
              <w:jc w:val="both"/>
            </w:pPr>
            <w:r>
              <w:rPr>
                <w:rFonts w:cs="Calibri"/>
                <w:color w:val="000000" w:themeColor="text1"/>
                <w:sz w:val="20"/>
                <w:szCs w:val="20"/>
              </w:rPr>
              <w:t>Puerto Asís</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57C38CCB" w14:textId="77777777">
            <w:pPr>
              <w:spacing w:after="0" w:line="240" w:lineRule="auto"/>
              <w:jc w:val="both"/>
            </w:pPr>
            <w:r>
              <w:rPr>
                <w:rFonts w:cs="Calibri"/>
                <w:color w:val="000000" w:themeColor="text1"/>
                <w:sz w:val="20"/>
                <w:szCs w:val="20"/>
              </w:rPr>
              <w:t>108,4699</w:t>
            </w:r>
          </w:p>
        </w:tc>
      </w:tr>
      <w:tr w:rsidR="00527B8C" w14:paraId="34E0DA7B"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21E15EF3" w14:textId="77777777">
            <w:pPr>
              <w:spacing w:after="0" w:line="240" w:lineRule="auto"/>
              <w:jc w:val="both"/>
            </w:pPr>
            <w:r>
              <w:rPr>
                <w:rFonts w:cs="Calibri"/>
                <w:color w:val="000000" w:themeColor="text1"/>
                <w:sz w:val="20"/>
                <w:szCs w:val="20"/>
              </w:rPr>
              <w:t>JI1-15001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5E045702" w14:textId="77777777">
            <w:pPr>
              <w:spacing w:after="0" w:line="240" w:lineRule="auto"/>
              <w:jc w:val="both"/>
              <w:rPr>
                <w:rFonts w:cs="Calibri"/>
                <w:color w:val="000000" w:themeColor="text1"/>
                <w:sz w:val="20"/>
                <w:szCs w:val="20"/>
              </w:rPr>
            </w:pPr>
            <w:r>
              <w:rPr>
                <w:rFonts w:cs="Calibri"/>
                <w:color w:val="000000" w:themeColor="text1"/>
                <w:sz w:val="20"/>
                <w:szCs w:val="20"/>
              </w:rPr>
              <w:t>Arenas, arenas silíceas</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678AD38C" w14:textId="77777777">
            <w:pPr>
              <w:spacing w:after="0" w:line="240" w:lineRule="auto"/>
              <w:jc w:val="both"/>
              <w:rPr>
                <w:rFonts w:cs="Calibri"/>
                <w:color w:val="000000" w:themeColor="text1"/>
                <w:sz w:val="20"/>
                <w:szCs w:val="20"/>
              </w:rPr>
            </w:pPr>
            <w:r>
              <w:rPr>
                <w:rFonts w:cs="Calibri"/>
                <w:color w:val="000000" w:themeColor="text1"/>
                <w:sz w:val="20"/>
                <w:szCs w:val="20"/>
              </w:rPr>
              <w:t>Santa Rosa, Mocoa</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53E28A4F" w14:textId="77777777">
            <w:pPr>
              <w:spacing w:after="0" w:line="240" w:lineRule="auto"/>
              <w:jc w:val="both"/>
            </w:pPr>
            <w:r>
              <w:rPr>
                <w:rFonts w:cs="Calibri"/>
                <w:color w:val="000000" w:themeColor="text1"/>
                <w:sz w:val="20"/>
                <w:szCs w:val="20"/>
              </w:rPr>
              <w:t>28,5048</w:t>
            </w:r>
          </w:p>
        </w:tc>
      </w:tr>
      <w:tr w:rsidR="00527B8C" w14:paraId="0A3FEAD9"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312A7C19" w14:textId="77777777">
            <w:pPr>
              <w:spacing w:after="0" w:line="240" w:lineRule="auto"/>
              <w:jc w:val="both"/>
            </w:pPr>
            <w:r>
              <w:rPr>
                <w:rFonts w:cs="Calibri"/>
                <w:color w:val="000000" w:themeColor="text1"/>
                <w:sz w:val="20"/>
                <w:szCs w:val="20"/>
              </w:rPr>
              <w:t>FFB-151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45E795A3" w14:textId="77777777">
            <w:pPr>
              <w:spacing w:after="0" w:line="240" w:lineRule="auto"/>
              <w:jc w:val="both"/>
            </w:pPr>
            <w:r>
              <w:rPr>
                <w:rFonts w:cs="Calibri"/>
                <w:color w:val="000000" w:themeColor="text1"/>
                <w:sz w:val="20"/>
                <w:szCs w:val="20"/>
              </w:rPr>
              <w:t>Arenas (de rio), gravas (de rio)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60645DC9" w14:textId="77777777">
            <w:pPr>
              <w:spacing w:after="0" w:line="240" w:lineRule="auto"/>
              <w:jc w:val="both"/>
            </w:pPr>
            <w:r>
              <w:rPr>
                <w:rFonts w:cs="Calibri"/>
                <w:color w:val="000000" w:themeColor="text1"/>
                <w:sz w:val="20"/>
                <w:szCs w:val="20"/>
              </w:rPr>
              <w:t>San Miguel (La Dorada)</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056EE47B" w14:textId="77777777">
            <w:pPr>
              <w:spacing w:after="0" w:line="240" w:lineRule="auto"/>
              <w:jc w:val="both"/>
            </w:pPr>
            <w:r>
              <w:rPr>
                <w:rFonts w:cs="Calibri"/>
                <w:color w:val="000000" w:themeColor="text1"/>
                <w:sz w:val="20"/>
                <w:szCs w:val="20"/>
              </w:rPr>
              <w:t>27,5008</w:t>
            </w:r>
          </w:p>
        </w:tc>
      </w:tr>
      <w:tr w:rsidR="00527B8C" w14:paraId="57E57E17"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51214818" w14:textId="77777777">
            <w:pPr>
              <w:spacing w:after="0" w:line="240" w:lineRule="auto"/>
              <w:jc w:val="both"/>
            </w:pPr>
            <w:r>
              <w:rPr>
                <w:rFonts w:cs="Calibri"/>
                <w:color w:val="000000" w:themeColor="text1"/>
                <w:sz w:val="20"/>
                <w:szCs w:val="20"/>
              </w:rPr>
              <w:t>OD9-14372</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04D7A294" w14:textId="77777777">
            <w:pPr>
              <w:spacing w:after="0" w:line="240" w:lineRule="auto"/>
              <w:jc w:val="both"/>
            </w:pPr>
            <w:r>
              <w:rPr>
                <w:rFonts w:cs="Calibri"/>
                <w:color w:val="000000" w:themeColor="text1"/>
                <w:sz w:val="20"/>
                <w:szCs w:val="20"/>
              </w:rPr>
              <w:t>Arenas, gravas</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5F84C3C8" w14:textId="77777777">
            <w:pPr>
              <w:spacing w:after="0" w:line="240" w:lineRule="auto"/>
              <w:jc w:val="both"/>
              <w:rPr>
                <w:rFonts w:cs="Calibri"/>
                <w:color w:val="000000" w:themeColor="text1"/>
                <w:sz w:val="20"/>
                <w:szCs w:val="20"/>
              </w:rPr>
            </w:pPr>
            <w:r>
              <w:rPr>
                <w:rFonts w:cs="Calibri"/>
                <w:color w:val="000000" w:themeColor="text1"/>
                <w:sz w:val="20"/>
                <w:szCs w:val="20"/>
              </w:rPr>
              <w:t>Orito, Valle Del Guamuez</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0357BC75" w14:textId="77777777">
            <w:pPr>
              <w:spacing w:after="0" w:line="240" w:lineRule="auto"/>
              <w:jc w:val="both"/>
            </w:pPr>
            <w:r>
              <w:rPr>
                <w:rFonts w:cs="Calibri"/>
                <w:color w:val="000000" w:themeColor="text1"/>
                <w:sz w:val="20"/>
                <w:szCs w:val="20"/>
              </w:rPr>
              <w:t>25,9342</w:t>
            </w:r>
          </w:p>
        </w:tc>
      </w:tr>
      <w:tr w:rsidR="00527B8C" w14:paraId="1F96ACBA" w14:textId="77777777">
        <w:trPr>
          <w:trHeight w:val="513"/>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1A230AEE" w14:textId="77777777">
            <w:pPr>
              <w:spacing w:after="0" w:line="240" w:lineRule="auto"/>
              <w:jc w:val="both"/>
            </w:pPr>
            <w:r>
              <w:rPr>
                <w:rFonts w:cs="Calibri"/>
                <w:color w:val="000000" w:themeColor="text1"/>
                <w:sz w:val="20"/>
                <w:szCs w:val="20"/>
              </w:rPr>
              <w:t>UHF-11171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4D670661" w14:textId="77777777">
            <w:pPr>
              <w:spacing w:after="0" w:line="240" w:lineRule="auto"/>
              <w:jc w:val="both"/>
            </w:pPr>
            <w:r>
              <w:rPr>
                <w:rFonts w:cs="Calibri"/>
                <w:color w:val="000000" w:themeColor="text1"/>
                <w:sz w:val="20"/>
                <w:szCs w:val="20"/>
              </w:rPr>
              <w:t>Arenas arcillosas, arenas feldespáticas, arenas industriales, arenas silíceas, gravas, recebo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046CA0BE" w14:textId="77777777">
            <w:pPr>
              <w:spacing w:after="0" w:line="240" w:lineRule="auto"/>
              <w:jc w:val="both"/>
              <w:rPr>
                <w:rFonts w:cs="Calibri"/>
                <w:color w:val="000000" w:themeColor="text1"/>
                <w:sz w:val="20"/>
                <w:szCs w:val="20"/>
              </w:rPr>
            </w:pPr>
            <w:r>
              <w:rPr>
                <w:rFonts w:cs="Calibri"/>
                <w:color w:val="000000" w:themeColor="text1"/>
                <w:sz w:val="20"/>
                <w:szCs w:val="20"/>
              </w:rPr>
              <w:t>Mocoa</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565F42E8" w14:textId="77777777">
            <w:pPr>
              <w:spacing w:after="0" w:line="240" w:lineRule="auto"/>
              <w:jc w:val="both"/>
            </w:pPr>
            <w:r>
              <w:rPr>
                <w:rFonts w:cs="Calibri"/>
                <w:color w:val="000000" w:themeColor="text1"/>
                <w:sz w:val="20"/>
                <w:szCs w:val="20"/>
              </w:rPr>
              <w:t>71,5606</w:t>
            </w:r>
          </w:p>
        </w:tc>
      </w:tr>
      <w:tr w:rsidR="00527B8C" w14:paraId="3D696D20"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726D2B5E" w14:textId="77777777">
            <w:pPr>
              <w:spacing w:after="0" w:line="240" w:lineRule="auto"/>
              <w:jc w:val="both"/>
            </w:pPr>
            <w:r>
              <w:rPr>
                <w:rFonts w:cs="Calibri"/>
                <w:color w:val="000000" w:themeColor="text1"/>
                <w:sz w:val="20"/>
                <w:szCs w:val="20"/>
              </w:rPr>
              <w:t>506039</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6125A025" w14:textId="77777777">
            <w:pPr>
              <w:spacing w:after="0" w:line="240" w:lineRule="auto"/>
              <w:jc w:val="both"/>
            </w:pPr>
            <w:r>
              <w:rPr>
                <w:rFonts w:cs="Calibri"/>
                <w:color w:val="000000" w:themeColor="text1"/>
                <w:sz w:val="20"/>
                <w:szCs w:val="20"/>
              </w:rPr>
              <w:t>Arenas (de rio), gravas (de rio)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7B7D93F7" w14:textId="77777777">
            <w:pPr>
              <w:spacing w:after="0" w:line="240" w:lineRule="auto"/>
              <w:jc w:val="both"/>
              <w:rPr>
                <w:rFonts w:cs="Calibri"/>
                <w:color w:val="000000" w:themeColor="text1"/>
                <w:sz w:val="20"/>
                <w:szCs w:val="20"/>
              </w:rPr>
            </w:pPr>
            <w:r>
              <w:rPr>
                <w:rFonts w:cs="Calibri"/>
                <w:color w:val="000000" w:themeColor="text1"/>
                <w:sz w:val="20"/>
                <w:szCs w:val="20"/>
              </w:rPr>
              <w:t>Mocoa</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1BA2537C" w14:textId="77777777">
            <w:pPr>
              <w:spacing w:after="0" w:line="240" w:lineRule="auto"/>
              <w:jc w:val="both"/>
            </w:pPr>
            <w:r>
              <w:rPr>
                <w:rFonts w:cs="Calibri"/>
                <w:color w:val="000000" w:themeColor="text1"/>
                <w:sz w:val="20"/>
                <w:szCs w:val="20"/>
              </w:rPr>
              <w:t>56,7496</w:t>
            </w:r>
          </w:p>
        </w:tc>
      </w:tr>
      <w:tr w:rsidR="00527B8C" w14:paraId="6C2A3F0D"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108C3D7E" w14:textId="77777777">
            <w:pPr>
              <w:spacing w:after="0" w:line="240" w:lineRule="auto"/>
              <w:jc w:val="both"/>
            </w:pPr>
            <w:r>
              <w:rPr>
                <w:rFonts w:cs="Calibri"/>
                <w:color w:val="000000" w:themeColor="text1"/>
                <w:sz w:val="20"/>
                <w:szCs w:val="20"/>
              </w:rPr>
              <w:t>JCI-10351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6F1FCE95" w14:textId="77777777">
            <w:pPr>
              <w:spacing w:after="0" w:line="240" w:lineRule="auto"/>
              <w:jc w:val="both"/>
            </w:pPr>
            <w:r>
              <w:rPr>
                <w:rFonts w:cs="Calibri"/>
                <w:color w:val="000000" w:themeColor="text1"/>
                <w:sz w:val="20"/>
                <w:szCs w:val="20"/>
              </w:rPr>
              <w:t>Arenas, gravas</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324512BB" w14:textId="77777777">
            <w:pPr>
              <w:spacing w:after="0" w:line="240" w:lineRule="auto"/>
              <w:jc w:val="both"/>
            </w:pPr>
            <w:r>
              <w:rPr>
                <w:rFonts w:cs="Calibri"/>
                <w:color w:val="000000" w:themeColor="text1"/>
                <w:sz w:val="20"/>
                <w:szCs w:val="20"/>
              </w:rPr>
              <w:t>San Miguel (La Dorada)</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1EEC594A" w14:textId="77777777">
            <w:pPr>
              <w:spacing w:after="0" w:line="240" w:lineRule="auto"/>
              <w:jc w:val="both"/>
            </w:pPr>
            <w:r>
              <w:rPr>
                <w:rFonts w:cs="Calibri"/>
                <w:color w:val="000000" w:themeColor="text1"/>
                <w:sz w:val="20"/>
                <w:szCs w:val="20"/>
              </w:rPr>
              <w:t>21,9498</w:t>
            </w:r>
          </w:p>
        </w:tc>
      </w:tr>
      <w:tr w:rsidR="00527B8C" w14:paraId="402F6AE1"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2BC1C764" w14:textId="77777777">
            <w:pPr>
              <w:spacing w:after="0" w:line="240" w:lineRule="auto"/>
              <w:jc w:val="both"/>
            </w:pPr>
            <w:r>
              <w:rPr>
                <w:rFonts w:cs="Calibri"/>
                <w:color w:val="000000" w:themeColor="text1"/>
                <w:sz w:val="20"/>
                <w:szCs w:val="20"/>
              </w:rPr>
              <w:t>509673</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440B0FEF" w14:textId="77777777">
            <w:pPr>
              <w:spacing w:after="0" w:line="240" w:lineRule="auto"/>
              <w:jc w:val="both"/>
            </w:pPr>
            <w:r>
              <w:rPr>
                <w:rFonts w:cs="Calibri"/>
                <w:color w:val="000000" w:themeColor="text1"/>
                <w:sz w:val="20"/>
                <w:szCs w:val="20"/>
              </w:rPr>
              <w:t>Arenas (de rio), gravas (de rio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776F1E09" w14:textId="77777777">
            <w:pPr>
              <w:spacing w:after="0" w:line="240" w:lineRule="auto"/>
              <w:jc w:val="both"/>
            </w:pPr>
            <w:r>
              <w:rPr>
                <w:rFonts w:cs="Calibri"/>
                <w:color w:val="000000" w:themeColor="text1"/>
                <w:sz w:val="20"/>
                <w:szCs w:val="20"/>
              </w:rPr>
              <w:t>Orito</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7CE033C8" w14:textId="77777777">
            <w:pPr>
              <w:spacing w:after="0" w:line="240" w:lineRule="auto"/>
              <w:jc w:val="both"/>
            </w:pPr>
            <w:r>
              <w:rPr>
                <w:rFonts w:cs="Calibri"/>
                <w:color w:val="000000" w:themeColor="text1"/>
                <w:sz w:val="20"/>
                <w:szCs w:val="20"/>
              </w:rPr>
              <w:t>4,9375</w:t>
            </w:r>
          </w:p>
        </w:tc>
      </w:tr>
      <w:tr w:rsidR="00527B8C" w14:paraId="22176107"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762410E0" w14:textId="77777777">
            <w:pPr>
              <w:spacing w:after="0" w:line="240" w:lineRule="auto"/>
              <w:jc w:val="both"/>
            </w:pPr>
            <w:r>
              <w:rPr>
                <w:rFonts w:cs="Calibri"/>
                <w:color w:val="000000" w:themeColor="text1"/>
                <w:sz w:val="20"/>
                <w:szCs w:val="20"/>
              </w:rPr>
              <w:t>IGG-15301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60A86B17" w14:textId="77777777">
            <w:pPr>
              <w:spacing w:after="0" w:line="240" w:lineRule="auto"/>
              <w:jc w:val="both"/>
            </w:pPr>
            <w:r>
              <w:rPr>
                <w:rFonts w:cs="Calibri"/>
                <w:color w:val="000000" w:themeColor="text1"/>
                <w:sz w:val="20"/>
                <w:szCs w:val="20"/>
              </w:rPr>
              <w:t>Arenas, gravas</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38214C2A" w14:textId="77777777">
            <w:pPr>
              <w:spacing w:after="0" w:line="240" w:lineRule="auto"/>
              <w:jc w:val="both"/>
              <w:rPr>
                <w:rFonts w:cs="Calibri"/>
                <w:color w:val="000000" w:themeColor="text1"/>
                <w:sz w:val="20"/>
                <w:szCs w:val="20"/>
              </w:rPr>
            </w:pPr>
            <w:r>
              <w:rPr>
                <w:rFonts w:cs="Calibri"/>
                <w:color w:val="000000" w:themeColor="text1"/>
                <w:sz w:val="20"/>
                <w:szCs w:val="20"/>
              </w:rPr>
              <w:t>Puerto Caicedo</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7073B5EE" w14:textId="77777777">
            <w:pPr>
              <w:spacing w:after="0" w:line="240" w:lineRule="auto"/>
              <w:jc w:val="both"/>
            </w:pPr>
            <w:r>
              <w:rPr>
                <w:rFonts w:cs="Calibri"/>
                <w:color w:val="000000" w:themeColor="text1"/>
                <w:sz w:val="20"/>
                <w:szCs w:val="20"/>
              </w:rPr>
              <w:t>196,1546</w:t>
            </w:r>
          </w:p>
        </w:tc>
      </w:tr>
      <w:tr w:rsidR="00527B8C" w14:paraId="558F340A"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75F1FCDE" w14:textId="77777777">
            <w:pPr>
              <w:spacing w:after="0" w:line="240" w:lineRule="auto"/>
              <w:jc w:val="both"/>
            </w:pPr>
            <w:r>
              <w:rPr>
                <w:rFonts w:cs="Calibri"/>
                <w:color w:val="000000" w:themeColor="text1"/>
                <w:sz w:val="20"/>
                <w:szCs w:val="20"/>
              </w:rPr>
              <w:t>507377</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5F7EBABF" w14:textId="77777777">
            <w:pPr>
              <w:spacing w:after="0" w:line="240" w:lineRule="auto"/>
              <w:jc w:val="both"/>
            </w:pPr>
            <w:r>
              <w:rPr>
                <w:rFonts w:cs="Calibri"/>
                <w:color w:val="000000" w:themeColor="text1"/>
                <w:sz w:val="20"/>
                <w:szCs w:val="20"/>
              </w:rPr>
              <w:t>Arenas, gravas</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1BCF1305" w14:textId="77777777">
            <w:pPr>
              <w:spacing w:after="0" w:line="240" w:lineRule="auto"/>
              <w:jc w:val="both"/>
            </w:pPr>
            <w:r>
              <w:rPr>
                <w:rFonts w:cs="Calibri"/>
                <w:color w:val="000000" w:themeColor="text1"/>
                <w:sz w:val="20"/>
                <w:szCs w:val="20"/>
              </w:rPr>
              <w:t>Piamonte, Puerto Guzmán</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7219744A" w14:textId="77777777">
            <w:pPr>
              <w:spacing w:after="0" w:line="240" w:lineRule="auto"/>
              <w:jc w:val="both"/>
            </w:pPr>
            <w:r>
              <w:rPr>
                <w:rFonts w:cs="Calibri"/>
                <w:color w:val="000000" w:themeColor="text1"/>
                <w:sz w:val="20"/>
                <w:szCs w:val="20"/>
              </w:rPr>
              <w:t>114,6919</w:t>
            </w:r>
          </w:p>
        </w:tc>
      </w:tr>
      <w:tr w:rsidR="00527B8C" w14:paraId="72621688"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71CC58E5" w14:textId="77777777">
            <w:pPr>
              <w:spacing w:after="0" w:line="240" w:lineRule="auto"/>
              <w:jc w:val="both"/>
            </w:pPr>
            <w:r>
              <w:rPr>
                <w:rFonts w:cs="Calibri"/>
                <w:color w:val="000000" w:themeColor="text1"/>
                <w:sz w:val="20"/>
                <w:szCs w:val="20"/>
              </w:rPr>
              <w:t>501204</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477B2D4C" w14:textId="77777777">
            <w:pPr>
              <w:spacing w:after="0" w:line="240" w:lineRule="auto"/>
              <w:jc w:val="both"/>
            </w:pPr>
            <w:r>
              <w:rPr>
                <w:rFonts w:cs="Calibri"/>
                <w:color w:val="000000" w:themeColor="text1"/>
                <w:sz w:val="20"/>
                <w:szCs w:val="20"/>
              </w:rPr>
              <w:t>Arenas (de rio), gravas (de rio)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5B8589DC" w14:textId="77777777">
            <w:pPr>
              <w:spacing w:after="0" w:line="240" w:lineRule="auto"/>
              <w:jc w:val="both"/>
              <w:rPr>
                <w:rFonts w:cs="Calibri"/>
                <w:color w:val="000000" w:themeColor="text1"/>
                <w:sz w:val="20"/>
                <w:szCs w:val="20"/>
              </w:rPr>
            </w:pPr>
            <w:r>
              <w:rPr>
                <w:rFonts w:cs="Calibri"/>
                <w:color w:val="000000" w:themeColor="text1"/>
                <w:sz w:val="20"/>
                <w:szCs w:val="20"/>
              </w:rPr>
              <w:t>Orito, Valle Del Guamuez</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2D06A12D" w14:textId="77777777">
            <w:pPr>
              <w:spacing w:after="0" w:line="240" w:lineRule="auto"/>
              <w:jc w:val="both"/>
            </w:pPr>
            <w:r>
              <w:rPr>
                <w:rFonts w:cs="Calibri"/>
                <w:color w:val="000000" w:themeColor="text1"/>
                <w:sz w:val="20"/>
                <w:szCs w:val="20"/>
              </w:rPr>
              <w:t>75,332</w:t>
            </w:r>
          </w:p>
        </w:tc>
      </w:tr>
      <w:tr w:rsidR="00527B8C" w14:paraId="778986C1"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380761C8" w14:textId="77777777">
            <w:pPr>
              <w:spacing w:after="0" w:line="240" w:lineRule="auto"/>
              <w:jc w:val="both"/>
            </w:pPr>
            <w:r>
              <w:rPr>
                <w:rFonts w:cs="Calibri"/>
                <w:color w:val="000000" w:themeColor="text1"/>
                <w:sz w:val="20"/>
                <w:szCs w:val="20"/>
              </w:rPr>
              <w:t>ARE-RLJ-08001X</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0E3F1199" w14:textId="77777777">
            <w:pPr>
              <w:spacing w:after="0" w:line="240" w:lineRule="auto"/>
              <w:jc w:val="both"/>
            </w:pPr>
            <w:r>
              <w:rPr>
                <w:rFonts w:cs="Calibri"/>
                <w:color w:val="000000" w:themeColor="text1"/>
                <w:sz w:val="20"/>
                <w:szCs w:val="20"/>
              </w:rPr>
              <w:t>Arenas (de rio), gravas (de rio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2492C930" w14:textId="77777777">
            <w:pPr>
              <w:spacing w:after="0" w:line="240" w:lineRule="auto"/>
              <w:jc w:val="both"/>
            </w:pPr>
            <w:r>
              <w:rPr>
                <w:rFonts w:cs="Calibri"/>
                <w:color w:val="000000" w:themeColor="text1"/>
                <w:sz w:val="20"/>
                <w:szCs w:val="20"/>
              </w:rPr>
              <w:t>Sibundoy, San Francisco</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2E3D0F87" w14:textId="77777777">
            <w:pPr>
              <w:spacing w:after="0" w:line="240" w:lineRule="auto"/>
              <w:jc w:val="both"/>
            </w:pPr>
            <w:r>
              <w:rPr>
                <w:rFonts w:cs="Calibri"/>
                <w:color w:val="000000" w:themeColor="text1"/>
                <w:sz w:val="20"/>
                <w:szCs w:val="20"/>
              </w:rPr>
              <w:t>144,4286</w:t>
            </w:r>
          </w:p>
        </w:tc>
      </w:tr>
      <w:tr w:rsidR="00527B8C" w14:paraId="78A987BA"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72039CB6" w14:textId="77777777">
            <w:pPr>
              <w:spacing w:after="0" w:line="240" w:lineRule="auto"/>
              <w:jc w:val="both"/>
            </w:pPr>
            <w:r>
              <w:rPr>
                <w:rFonts w:cs="Calibri"/>
                <w:color w:val="000000" w:themeColor="text1"/>
                <w:sz w:val="20"/>
                <w:szCs w:val="20"/>
              </w:rPr>
              <w:t>504219</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0F9FE30A" w14:textId="77777777">
            <w:pPr>
              <w:spacing w:after="0" w:line="240" w:lineRule="auto"/>
              <w:jc w:val="both"/>
            </w:pPr>
            <w:r>
              <w:rPr>
                <w:rFonts w:cs="Calibri"/>
                <w:color w:val="000000" w:themeColor="text1"/>
                <w:sz w:val="20"/>
                <w:szCs w:val="20"/>
              </w:rPr>
              <w:t>Arenas (de rio), gravas (de rio)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03D59FEC" w14:textId="77777777">
            <w:pPr>
              <w:spacing w:after="0" w:line="240" w:lineRule="auto"/>
              <w:jc w:val="both"/>
              <w:rPr>
                <w:rFonts w:cs="Calibri"/>
                <w:color w:val="000000" w:themeColor="text1"/>
                <w:sz w:val="20"/>
                <w:szCs w:val="20"/>
              </w:rPr>
            </w:pPr>
            <w:r>
              <w:rPr>
                <w:rFonts w:cs="Calibri"/>
                <w:color w:val="000000" w:themeColor="text1"/>
                <w:sz w:val="20"/>
                <w:szCs w:val="20"/>
              </w:rPr>
              <w:t>Orito, Valle Del Guamuez</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3564D76F" w14:textId="77777777">
            <w:pPr>
              <w:spacing w:after="0" w:line="240" w:lineRule="auto"/>
              <w:jc w:val="both"/>
            </w:pPr>
            <w:r>
              <w:rPr>
                <w:rFonts w:cs="Calibri"/>
                <w:color w:val="000000" w:themeColor="text1"/>
                <w:sz w:val="20"/>
                <w:szCs w:val="20"/>
              </w:rPr>
              <w:t>12,345</w:t>
            </w:r>
          </w:p>
        </w:tc>
      </w:tr>
      <w:tr w:rsidR="00527B8C" w14:paraId="43A1E829"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1AC8D293" w14:textId="77777777">
            <w:pPr>
              <w:spacing w:after="0" w:line="240" w:lineRule="auto"/>
              <w:jc w:val="both"/>
            </w:pPr>
            <w:r>
              <w:rPr>
                <w:rFonts w:cs="Calibri"/>
                <w:color w:val="000000" w:themeColor="text1"/>
                <w:sz w:val="20"/>
                <w:szCs w:val="20"/>
              </w:rPr>
              <w:t>IEO-11001X</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25430960" w14:textId="77777777">
            <w:pPr>
              <w:spacing w:after="0" w:line="240" w:lineRule="auto"/>
              <w:jc w:val="both"/>
            </w:pPr>
            <w:r>
              <w:rPr>
                <w:rFonts w:cs="Calibri"/>
                <w:color w:val="000000" w:themeColor="text1"/>
                <w:sz w:val="20"/>
                <w:szCs w:val="20"/>
              </w:rPr>
              <w:t>Arenas, gravas</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17CB75A7" w14:textId="77777777">
            <w:pPr>
              <w:spacing w:after="0" w:line="240" w:lineRule="auto"/>
              <w:jc w:val="both"/>
              <w:rPr>
                <w:rFonts w:cs="Calibri"/>
                <w:color w:val="000000" w:themeColor="text1"/>
                <w:sz w:val="20"/>
                <w:szCs w:val="20"/>
              </w:rPr>
            </w:pPr>
            <w:r>
              <w:rPr>
                <w:rFonts w:cs="Calibri"/>
                <w:color w:val="000000" w:themeColor="text1"/>
                <w:sz w:val="20"/>
                <w:szCs w:val="20"/>
              </w:rPr>
              <w:t>Orito, Valle Del Guamuez</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736D4FF9" w14:textId="77777777">
            <w:pPr>
              <w:spacing w:after="0" w:line="240" w:lineRule="auto"/>
              <w:jc w:val="both"/>
            </w:pPr>
            <w:r>
              <w:rPr>
                <w:rFonts w:cs="Calibri"/>
                <w:color w:val="000000" w:themeColor="text1"/>
                <w:sz w:val="20"/>
                <w:szCs w:val="20"/>
              </w:rPr>
              <w:t>22,465</w:t>
            </w:r>
          </w:p>
        </w:tc>
      </w:tr>
      <w:tr w:rsidR="00527B8C" w14:paraId="105069BF"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35544B88" w14:textId="77777777">
            <w:pPr>
              <w:spacing w:after="0" w:line="240" w:lineRule="auto"/>
              <w:jc w:val="both"/>
            </w:pPr>
            <w:r>
              <w:rPr>
                <w:rFonts w:cs="Calibri"/>
                <w:color w:val="000000" w:themeColor="text1"/>
                <w:sz w:val="20"/>
                <w:szCs w:val="20"/>
              </w:rPr>
              <w:t>HCS-152</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7DE263B0" w14:textId="77777777">
            <w:pPr>
              <w:spacing w:after="0" w:line="240" w:lineRule="auto"/>
              <w:jc w:val="both"/>
            </w:pPr>
            <w:r>
              <w:rPr>
                <w:rFonts w:cs="Calibri"/>
                <w:color w:val="000000" w:themeColor="text1"/>
                <w:sz w:val="20"/>
                <w:szCs w:val="20"/>
              </w:rPr>
              <w:t>Arenas, gravas</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71175B7C" w14:textId="77777777">
            <w:pPr>
              <w:spacing w:after="0" w:line="240" w:lineRule="auto"/>
              <w:jc w:val="both"/>
            </w:pPr>
            <w:r>
              <w:rPr>
                <w:rFonts w:cs="Calibri"/>
                <w:color w:val="000000" w:themeColor="text1"/>
                <w:sz w:val="20"/>
                <w:szCs w:val="20"/>
              </w:rPr>
              <w:t>Orito</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281D8A53" w14:textId="77777777">
            <w:pPr>
              <w:spacing w:after="0" w:line="240" w:lineRule="auto"/>
              <w:jc w:val="both"/>
            </w:pPr>
            <w:r>
              <w:rPr>
                <w:rFonts w:cs="Calibri"/>
                <w:color w:val="000000" w:themeColor="text1"/>
                <w:sz w:val="20"/>
                <w:szCs w:val="20"/>
              </w:rPr>
              <w:t>11,8607</w:t>
            </w:r>
          </w:p>
        </w:tc>
      </w:tr>
      <w:tr w:rsidR="00527B8C" w14:paraId="5E0D09D9"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77F584D2" w14:textId="77777777">
            <w:pPr>
              <w:spacing w:after="0" w:line="240" w:lineRule="auto"/>
              <w:jc w:val="both"/>
            </w:pPr>
            <w:r>
              <w:rPr>
                <w:rFonts w:cs="Calibri"/>
                <w:color w:val="000000" w:themeColor="text1"/>
                <w:sz w:val="20"/>
                <w:szCs w:val="20"/>
              </w:rPr>
              <w:t>HI6-09081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20F57496" w14:textId="77777777">
            <w:pPr>
              <w:spacing w:after="0" w:line="240" w:lineRule="auto"/>
              <w:jc w:val="both"/>
            </w:pPr>
            <w:r>
              <w:rPr>
                <w:rFonts w:cs="Calibri"/>
                <w:color w:val="000000" w:themeColor="text1"/>
                <w:sz w:val="20"/>
                <w:szCs w:val="20"/>
              </w:rPr>
              <w:t>Arenas, gravas</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0386618F" w14:textId="77777777">
            <w:pPr>
              <w:spacing w:after="0" w:line="240" w:lineRule="auto"/>
              <w:jc w:val="both"/>
            </w:pPr>
            <w:r>
              <w:rPr>
                <w:rFonts w:cs="Calibri"/>
                <w:color w:val="000000" w:themeColor="text1"/>
                <w:sz w:val="20"/>
                <w:szCs w:val="20"/>
              </w:rPr>
              <w:t>Orito</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55594DDD" w14:textId="77777777">
            <w:pPr>
              <w:spacing w:after="0" w:line="240" w:lineRule="auto"/>
              <w:jc w:val="both"/>
            </w:pPr>
            <w:r>
              <w:rPr>
                <w:rFonts w:cs="Calibri"/>
                <w:color w:val="000000" w:themeColor="text1"/>
                <w:sz w:val="20"/>
                <w:szCs w:val="20"/>
              </w:rPr>
              <w:t>43,242</w:t>
            </w:r>
          </w:p>
        </w:tc>
      </w:tr>
      <w:tr w:rsidR="00527B8C" w14:paraId="47FCEEC1"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353FBF9F" w14:textId="77777777">
            <w:pPr>
              <w:spacing w:after="0" w:line="240" w:lineRule="auto"/>
              <w:jc w:val="both"/>
            </w:pPr>
            <w:r>
              <w:rPr>
                <w:rFonts w:cs="Calibri"/>
                <w:color w:val="000000" w:themeColor="text1"/>
                <w:sz w:val="20"/>
                <w:szCs w:val="20"/>
              </w:rPr>
              <w:t>503098</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69A6FEEA" w14:textId="77777777">
            <w:pPr>
              <w:spacing w:after="0" w:line="240" w:lineRule="auto"/>
              <w:jc w:val="both"/>
            </w:pPr>
            <w:r>
              <w:rPr>
                <w:rFonts w:cs="Calibri"/>
                <w:color w:val="000000" w:themeColor="text1"/>
                <w:sz w:val="20"/>
                <w:szCs w:val="20"/>
              </w:rPr>
              <w:t>Gravas (de rio)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468E5423" w14:textId="77777777">
            <w:pPr>
              <w:spacing w:after="0" w:line="240" w:lineRule="auto"/>
              <w:jc w:val="both"/>
            </w:pPr>
            <w:r>
              <w:rPr>
                <w:rFonts w:cs="Calibri"/>
                <w:color w:val="000000" w:themeColor="text1"/>
                <w:sz w:val="20"/>
                <w:szCs w:val="20"/>
              </w:rPr>
              <w:t>Orito</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5D3EA997" w14:textId="77777777">
            <w:pPr>
              <w:spacing w:after="0" w:line="240" w:lineRule="auto"/>
              <w:jc w:val="both"/>
            </w:pPr>
            <w:r>
              <w:rPr>
                <w:rFonts w:cs="Calibri"/>
                <w:color w:val="000000" w:themeColor="text1"/>
                <w:sz w:val="20"/>
                <w:szCs w:val="20"/>
              </w:rPr>
              <w:t>88,8639</w:t>
            </w:r>
          </w:p>
        </w:tc>
      </w:tr>
      <w:tr w:rsidR="00527B8C" w14:paraId="4C04587D"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4D604757" w14:textId="77777777">
            <w:pPr>
              <w:spacing w:after="0" w:line="240" w:lineRule="auto"/>
              <w:jc w:val="both"/>
            </w:pPr>
            <w:r>
              <w:rPr>
                <w:rFonts w:cs="Calibri"/>
                <w:color w:val="000000" w:themeColor="text1"/>
                <w:sz w:val="20"/>
                <w:szCs w:val="20"/>
              </w:rPr>
              <w:t>ODT-10371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019DBDA9" w14:textId="77777777">
            <w:pPr>
              <w:spacing w:after="0" w:line="240" w:lineRule="auto"/>
              <w:jc w:val="both"/>
            </w:pPr>
            <w:r>
              <w:rPr>
                <w:rFonts w:cs="Calibri"/>
                <w:color w:val="000000" w:themeColor="text1"/>
                <w:sz w:val="20"/>
                <w:szCs w:val="20"/>
              </w:rPr>
              <w:t>Arenas, gravas</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1B81A2D6" w14:textId="77777777">
            <w:pPr>
              <w:spacing w:after="0" w:line="240" w:lineRule="auto"/>
              <w:jc w:val="both"/>
              <w:rPr>
                <w:rFonts w:cs="Calibri"/>
                <w:color w:val="000000" w:themeColor="text1"/>
                <w:sz w:val="20"/>
                <w:szCs w:val="20"/>
              </w:rPr>
            </w:pPr>
            <w:r>
              <w:rPr>
                <w:rFonts w:cs="Calibri"/>
                <w:color w:val="000000" w:themeColor="text1"/>
                <w:sz w:val="20"/>
                <w:szCs w:val="20"/>
              </w:rPr>
              <w:t>Mocoa</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5750A630" w14:textId="77777777">
            <w:pPr>
              <w:spacing w:after="0" w:line="240" w:lineRule="auto"/>
              <w:jc w:val="both"/>
            </w:pPr>
            <w:r>
              <w:rPr>
                <w:rFonts w:cs="Calibri"/>
                <w:color w:val="000000" w:themeColor="text1"/>
                <w:sz w:val="20"/>
                <w:szCs w:val="20"/>
              </w:rPr>
              <w:t>11,1033</w:t>
            </w:r>
          </w:p>
        </w:tc>
      </w:tr>
      <w:tr w:rsidR="00527B8C" w14:paraId="2F536CFA" w14:textId="77777777">
        <w:trPr>
          <w:trHeight w:val="300"/>
        </w:trPr>
        <w:tc>
          <w:tcPr>
            <w:tcW w:w="1563"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5DC39BDC" w14:textId="77777777">
            <w:pPr>
              <w:spacing w:after="0" w:line="240" w:lineRule="auto"/>
              <w:jc w:val="both"/>
            </w:pPr>
            <w:r>
              <w:rPr>
                <w:rFonts w:cs="Calibri"/>
                <w:color w:val="000000" w:themeColor="text1"/>
                <w:sz w:val="20"/>
                <w:szCs w:val="20"/>
              </w:rPr>
              <w:t>506041</w:t>
            </w:r>
          </w:p>
        </w:tc>
        <w:tc>
          <w:tcPr>
            <w:tcW w:w="332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0527B8C" w:rsidP="00CD75B8" w:rsidRDefault="00212A57" w14:paraId="343F28B4" w14:textId="77777777">
            <w:pPr>
              <w:spacing w:after="0" w:line="240" w:lineRule="auto"/>
              <w:jc w:val="both"/>
            </w:pPr>
            <w:r>
              <w:rPr>
                <w:rFonts w:cs="Calibri"/>
                <w:color w:val="000000" w:themeColor="text1"/>
                <w:sz w:val="20"/>
                <w:szCs w:val="20"/>
              </w:rPr>
              <w:t>Arenas (de rio), gravas (de rio)</w:t>
            </w:r>
          </w:p>
        </w:tc>
        <w:tc>
          <w:tcPr>
            <w:tcW w:w="2331"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76095CCD" w14:textId="77777777">
            <w:pPr>
              <w:spacing w:after="0" w:line="240" w:lineRule="auto"/>
              <w:jc w:val="both"/>
              <w:rPr>
                <w:rFonts w:cs="Calibri"/>
                <w:color w:val="000000" w:themeColor="text1"/>
                <w:sz w:val="20"/>
                <w:szCs w:val="20"/>
              </w:rPr>
            </w:pPr>
            <w:r>
              <w:rPr>
                <w:rFonts w:cs="Calibri"/>
                <w:color w:val="000000" w:themeColor="text1"/>
                <w:sz w:val="20"/>
                <w:szCs w:val="20"/>
              </w:rPr>
              <w:t>Santa Rosa, Mocoa</w:t>
            </w:r>
          </w:p>
        </w:tc>
        <w:tc>
          <w:tcPr>
            <w:tcW w:w="1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0527B8C" w:rsidP="00CD75B8" w:rsidRDefault="00212A57" w14:paraId="603A1563" w14:textId="77777777">
            <w:pPr>
              <w:spacing w:after="0" w:line="240" w:lineRule="auto"/>
              <w:jc w:val="both"/>
            </w:pPr>
            <w:r>
              <w:rPr>
                <w:rFonts w:cs="Calibri"/>
                <w:color w:val="000000" w:themeColor="text1"/>
                <w:sz w:val="20"/>
                <w:szCs w:val="20"/>
              </w:rPr>
              <w:t>13,5681</w:t>
            </w:r>
          </w:p>
        </w:tc>
      </w:tr>
    </w:tbl>
    <w:p w:rsidR="00527B8C" w:rsidP="00CD75B8" w:rsidRDefault="00212A57" w14:paraId="2E888FE2" w14:textId="7ADA6914">
      <w:pPr>
        <w:spacing w:after="0" w:line="240" w:lineRule="auto"/>
        <w:jc w:val="center"/>
        <w:rPr>
          <w:i/>
          <w:iCs/>
          <w:sz w:val="20"/>
          <w:szCs w:val="20"/>
          <w:lang w:val="es-CO"/>
        </w:rPr>
      </w:pPr>
      <w:r w:rsidRPr="00CD75B8">
        <w:rPr>
          <w:i/>
          <w:iCs/>
          <w:sz w:val="20"/>
          <w:szCs w:val="20"/>
          <w:lang w:val="es-CO"/>
        </w:rPr>
        <w:t>Fuente:</w:t>
      </w:r>
      <w:r w:rsidR="00CD75B8">
        <w:rPr>
          <w:i/>
          <w:iCs/>
          <w:sz w:val="20"/>
          <w:szCs w:val="20"/>
          <w:lang w:val="es-CO"/>
        </w:rPr>
        <w:t xml:space="preserve"> </w:t>
      </w:r>
      <w:r w:rsidRPr="00CD75B8">
        <w:rPr>
          <w:rFonts w:cs="Calibri"/>
          <w:i/>
          <w:iCs/>
          <w:sz w:val="20"/>
          <w:szCs w:val="20"/>
          <w:lang w:val="es-CO"/>
        </w:rPr>
        <w:t>Agencia Nacional Minera</w:t>
      </w:r>
      <w:r w:rsidRPr="00CD75B8">
        <w:rPr>
          <w:i/>
          <w:iCs/>
          <w:sz w:val="20"/>
          <w:szCs w:val="20"/>
          <w:lang w:val="es-CO"/>
        </w:rPr>
        <w:t xml:space="preserve"> ANM, 2025</w:t>
      </w:r>
    </w:p>
    <w:p w:rsidRPr="00CD75B8" w:rsidR="00CD75B8" w:rsidP="00CD75B8" w:rsidRDefault="00CD75B8" w14:paraId="1B5A454F" w14:textId="77777777">
      <w:pPr>
        <w:spacing w:after="0" w:line="240" w:lineRule="auto"/>
        <w:jc w:val="center"/>
        <w:rPr>
          <w:i/>
          <w:iCs/>
          <w:sz w:val="20"/>
          <w:szCs w:val="20"/>
          <w:lang w:val="es-CO"/>
        </w:rPr>
      </w:pPr>
    </w:p>
    <w:p w:rsidRPr="00CD75B8" w:rsidR="00527B8C" w:rsidP="00CD75B8" w:rsidRDefault="00CD75B8" w14:paraId="73CE8BDC" w14:textId="1208A203">
      <w:pPr>
        <w:pStyle w:val="Descripcin"/>
        <w:spacing w:after="160"/>
        <w:jc w:val="center"/>
        <w:rPr>
          <w:sz w:val="20"/>
          <w:szCs w:val="20"/>
          <w:lang w:val="es-CO"/>
        </w:rPr>
      </w:pPr>
      <w:bookmarkStart w:name="_Toc216514445" w:id="64"/>
      <w:r w:rsidRPr="00CD75B8">
        <w:rPr>
          <w:sz w:val="20"/>
          <w:szCs w:val="20"/>
        </w:rPr>
        <w:t xml:space="preserve">Gráfico </w:t>
      </w:r>
      <w:r w:rsidRPr="00CD75B8">
        <w:rPr>
          <w:sz w:val="20"/>
          <w:szCs w:val="20"/>
        </w:rPr>
        <w:fldChar w:fldCharType="begin"/>
      </w:r>
      <w:r w:rsidRPr="00CD75B8">
        <w:rPr>
          <w:sz w:val="20"/>
          <w:szCs w:val="20"/>
        </w:rPr>
        <w:instrText xml:space="preserve"> SEQ Gráfico \* ARABIC </w:instrText>
      </w:r>
      <w:r w:rsidRPr="00CD75B8">
        <w:rPr>
          <w:sz w:val="20"/>
          <w:szCs w:val="20"/>
        </w:rPr>
        <w:fldChar w:fldCharType="separate"/>
      </w:r>
      <w:r w:rsidR="00EE79CE">
        <w:rPr>
          <w:noProof/>
          <w:sz w:val="20"/>
          <w:szCs w:val="20"/>
        </w:rPr>
        <w:t>1</w:t>
      </w:r>
      <w:r w:rsidRPr="00CD75B8">
        <w:rPr>
          <w:sz w:val="20"/>
          <w:szCs w:val="20"/>
        </w:rPr>
        <w:fldChar w:fldCharType="end"/>
      </w:r>
      <w:r w:rsidRPr="00CD75B8">
        <w:rPr>
          <w:sz w:val="20"/>
          <w:szCs w:val="20"/>
        </w:rPr>
        <w:t xml:space="preserve"> Porcentaje de títulos mineros en la Amazonía</w:t>
      </w:r>
      <w:bookmarkEnd w:id="64"/>
    </w:p>
    <w:p w:rsidR="00527B8C" w:rsidP="00CD75B8" w:rsidRDefault="00212A57" w14:paraId="55D87B9E" w14:textId="77777777">
      <w:pPr>
        <w:spacing w:after="0" w:line="360" w:lineRule="auto"/>
        <w:jc w:val="center"/>
      </w:pPr>
      <w:r>
        <w:rPr>
          <w:noProof/>
        </w:rPr>
        <w:drawing>
          <wp:inline distT="0" distB="0" distL="0" distR="0" wp14:anchorId="0B08268D" wp14:editId="52BBB0C9">
            <wp:extent cx="4584065" cy="2755265"/>
            <wp:effectExtent l="38100" t="38100" r="38100" b="38100"/>
            <wp:docPr id="15706609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66091" name="drawing"/>
                    <pic:cNvPicPr>
                      <a:picLocks noChangeAspect="1"/>
                    </pic:cNvPicPr>
                  </pic:nvPicPr>
                  <pic:blipFill>
                    <a:blip r:embed="rId22"/>
                    <a:stretch>
                      <a:fillRect/>
                    </a:stretch>
                  </pic:blipFill>
                  <pic:spPr>
                    <a:xfrm>
                      <a:off x="0" y="0"/>
                      <a:ext cx="4584589" cy="2755631"/>
                    </a:xfrm>
                    <a:prstGeom prst="rect">
                      <a:avLst/>
                    </a:prstGeom>
                    <a:ln w="38100">
                      <a:solidFill>
                        <a:srgbClr val="002060"/>
                      </a:solidFill>
                      <a:prstDash val="solid"/>
                    </a:ln>
                  </pic:spPr>
                </pic:pic>
              </a:graphicData>
            </a:graphic>
          </wp:inline>
        </w:drawing>
      </w:r>
    </w:p>
    <w:p w:rsidRPr="00CD75B8" w:rsidR="00527B8C" w:rsidP="00CD75B8" w:rsidRDefault="00212A57" w14:paraId="6D0B509C" w14:textId="77777777">
      <w:pPr>
        <w:spacing w:after="0" w:line="360" w:lineRule="auto"/>
        <w:jc w:val="center"/>
        <w:rPr>
          <w:rFonts w:cs="Calibri"/>
          <w:i/>
          <w:iCs/>
          <w:sz w:val="20"/>
          <w:szCs w:val="20"/>
          <w:lang w:val="es-CO"/>
        </w:rPr>
      </w:pPr>
      <w:r w:rsidRPr="00CD75B8">
        <w:rPr>
          <w:rFonts w:cs="Calibri"/>
          <w:i/>
          <w:iCs/>
          <w:sz w:val="20"/>
          <w:szCs w:val="20"/>
          <w:lang w:val="es-CO"/>
        </w:rPr>
        <w:t>Fuente: Modificación de Agencia Nacional Minera ANM, diciembre de 2025</w:t>
      </w:r>
    </w:p>
    <w:p w:rsidR="00527B8C" w:rsidRDefault="00212A57" w14:paraId="0401C570" w14:textId="77777777">
      <w:pPr>
        <w:pStyle w:val="Ttulo1"/>
        <w:keepNext w:val="0"/>
        <w:keepLines w:val="0"/>
        <w:spacing w:before="0" w:line="360" w:lineRule="auto"/>
        <w:jc w:val="both"/>
        <w:rPr>
          <w:rFonts w:ascii="Calibri" w:hAnsi="Calibri" w:eastAsia="Calibri" w:cs="Calibri"/>
          <w:sz w:val="24"/>
          <w:szCs w:val="24"/>
          <w:lang w:val="es-CO"/>
        </w:rPr>
      </w:pPr>
      <w:bookmarkStart w:name="_Toc281049523" w:id="1349975109"/>
      <w:r w:rsidRPr="53DEF7DD" w:rsidR="670101B5">
        <w:rPr>
          <w:rFonts w:ascii="Calibri" w:hAnsi="Calibri" w:eastAsia="Calibri" w:cs="Calibri"/>
          <w:sz w:val="24"/>
          <w:szCs w:val="24"/>
          <w:lang w:val="es-CO"/>
        </w:rPr>
        <w:t>5. Impactos Ambientales</w:t>
      </w:r>
      <w:bookmarkEnd w:id="1349975109"/>
    </w:p>
    <w:p w:rsidR="00CD75B8" w:rsidRDefault="00CD75B8" w14:paraId="6843AB79" w14:textId="77777777">
      <w:pPr>
        <w:spacing w:line="360" w:lineRule="auto"/>
        <w:ind w:firstLine="302" w:firstLineChars="126"/>
        <w:jc w:val="both"/>
        <w:rPr>
          <w:rFonts w:cs="Calibri"/>
          <w:sz w:val="24"/>
          <w:szCs w:val="24"/>
        </w:rPr>
      </w:pPr>
    </w:p>
    <w:p w:rsidR="00527B8C" w:rsidRDefault="00212A57" w14:paraId="52FFF9E8" w14:textId="019C67B8">
      <w:pPr>
        <w:spacing w:line="360" w:lineRule="auto"/>
        <w:ind w:firstLine="302" w:firstLineChars="126"/>
        <w:jc w:val="both"/>
        <w:rPr>
          <w:rFonts w:cs="Calibri"/>
          <w:sz w:val="24"/>
          <w:szCs w:val="24"/>
        </w:rPr>
      </w:pPr>
      <w:r>
        <w:rPr>
          <w:rFonts w:cs="Calibri"/>
          <w:sz w:val="24"/>
          <w:szCs w:val="24"/>
        </w:rPr>
        <w:t>La extracción de material de arrastre está asociada a la alta degradación de los ecosistemas a nivel aéreo, acuático, de suelo, subsuelo y social.</w:t>
      </w:r>
      <w:r>
        <w:rPr>
          <w:rFonts w:cs="Calibri"/>
          <w:sz w:val="24"/>
          <w:szCs w:val="24"/>
          <w:lang w:val="es-CO"/>
        </w:rPr>
        <w:t xml:space="preserve"> </w:t>
      </w:r>
      <w:r>
        <w:rPr>
          <w:rFonts w:cs="Calibri"/>
          <w:sz w:val="24"/>
          <w:szCs w:val="24"/>
        </w:rPr>
        <w:t>Los impactos ambientales incluyen la pérdida de cobertura vegetal, lo que causa erosión del suelo, limita las interacciones ecosistémicas y resulta en la pérdida de calidad y alteración del cauce en los ríos. Esta afectación a los cauces fluviales es percibida directamente por las comunidades indígenas como una problemática grave, con impacto en sus territorios y recursos vitales.</w:t>
      </w:r>
    </w:p>
    <w:p w:rsidR="00527B8C" w:rsidRDefault="00527B8C" w14:paraId="4123172B" w14:textId="77777777">
      <w:pPr>
        <w:pStyle w:val="Ttulo1"/>
        <w:keepNext w:val="0"/>
        <w:keepLines w:val="0"/>
        <w:spacing w:before="0" w:line="360" w:lineRule="auto"/>
        <w:ind w:firstLine="304" w:firstLineChars="126"/>
        <w:jc w:val="both"/>
        <w:rPr>
          <w:rFonts w:ascii="Calibri" w:hAnsi="Calibri" w:eastAsia="Calibri" w:cs="Calibri"/>
          <w:sz w:val="24"/>
          <w:szCs w:val="24"/>
          <w:lang w:val="es-CO"/>
        </w:rPr>
      </w:pPr>
    </w:p>
    <w:p w:rsidR="00527B8C" w:rsidRDefault="00212A57" w14:paraId="7A3C96F2" w14:textId="77777777">
      <w:pPr>
        <w:pStyle w:val="Ttulo1"/>
        <w:keepNext w:val="0"/>
        <w:keepLines w:val="0"/>
        <w:spacing w:before="0" w:line="360" w:lineRule="auto"/>
        <w:ind w:firstLine="304" w:firstLineChars="126"/>
        <w:jc w:val="both"/>
        <w:rPr>
          <w:rFonts w:ascii="Calibri" w:hAnsi="Calibri" w:eastAsia="Calibri" w:cs="Calibri"/>
          <w:sz w:val="24"/>
          <w:szCs w:val="24"/>
          <w:lang w:val="es-CO"/>
        </w:rPr>
      </w:pPr>
      <w:bookmarkStart w:name="_Toc642373070" w:id="1291861622"/>
      <w:r w:rsidRPr="53DEF7DD" w:rsidR="670101B5">
        <w:rPr>
          <w:rFonts w:ascii="Calibri" w:hAnsi="Calibri" w:eastAsia="Calibri" w:cs="Calibri"/>
          <w:sz w:val="24"/>
          <w:szCs w:val="24"/>
          <w:lang w:val="es-CO"/>
        </w:rPr>
        <w:t>5.1. Contexto y Relevancia Ambiental de la Amazonía</w:t>
      </w:r>
      <w:bookmarkEnd w:id="1291861622"/>
    </w:p>
    <w:p w:rsidR="00527B8C" w:rsidRDefault="00527B8C" w14:paraId="0177C950" w14:textId="77777777">
      <w:pPr>
        <w:spacing w:after="0" w:line="360" w:lineRule="auto"/>
        <w:ind w:firstLine="277" w:firstLineChars="126"/>
        <w:jc w:val="both"/>
        <w:rPr>
          <w:lang w:val="es-CO"/>
        </w:rPr>
      </w:pPr>
    </w:p>
    <w:p w:rsidR="00527B8C" w:rsidRDefault="00212A57" w14:paraId="6B72BE3A" w14:textId="77777777">
      <w:pPr>
        <w:spacing w:line="360" w:lineRule="auto"/>
        <w:ind w:firstLine="302" w:firstLineChars="126"/>
        <w:jc w:val="both"/>
        <w:rPr>
          <w:rFonts w:cs="Calibri"/>
          <w:sz w:val="24"/>
          <w:szCs w:val="24"/>
        </w:rPr>
      </w:pPr>
      <w:r>
        <w:rPr>
          <w:rFonts w:cs="Calibri"/>
          <w:sz w:val="24"/>
          <w:szCs w:val="24"/>
        </w:rPr>
        <w:t xml:space="preserve">La Amazonía colombiana es un bioma de importancia estratégica y alta fragilidad ecológica a nivel global, constituyendo cerca del 35% del territorio nacional contando con: </w:t>
      </w:r>
    </w:p>
    <w:p w:rsidR="00527B8C" w:rsidRDefault="00212A57" w14:paraId="2BF8B1CE" w14:textId="77777777">
      <w:pPr>
        <w:spacing w:line="360" w:lineRule="auto"/>
        <w:ind w:firstLine="304" w:firstLineChars="126"/>
        <w:jc w:val="both"/>
        <w:rPr>
          <w:rFonts w:cs="Calibri"/>
          <w:sz w:val="24"/>
          <w:szCs w:val="24"/>
        </w:rPr>
      </w:pPr>
      <w:r>
        <w:rPr>
          <w:rFonts w:cs="Calibri"/>
          <w:b/>
          <w:bCs/>
          <w:sz w:val="24"/>
          <w:szCs w:val="24"/>
        </w:rPr>
        <w:t>Ecosistemas Estratégicos:</w:t>
      </w:r>
      <w:r>
        <w:rPr>
          <w:rFonts w:cs="Calibri"/>
          <w:sz w:val="24"/>
          <w:szCs w:val="24"/>
        </w:rPr>
        <w:t xml:space="preserve"> La región alberga ecosistemas estratégicos de relevancia global y una amplia representación de áreas protegidas en los niveles municipal, regional y nacional, incluyendo parques nacionales naturales como la Serranía de Chiribiquete, declarada Patrimonio Natural y Cultural de la Humanidad por la UNESCO.</w:t>
      </w:r>
    </w:p>
    <w:p w:rsidR="00527B8C" w:rsidRDefault="00212A57" w14:paraId="7EC9FF14" w14:textId="77777777">
      <w:pPr>
        <w:spacing w:line="360" w:lineRule="auto"/>
        <w:ind w:firstLine="304" w:firstLineChars="126"/>
        <w:jc w:val="both"/>
        <w:rPr>
          <w:rFonts w:cs="Calibri"/>
          <w:sz w:val="24"/>
          <w:szCs w:val="24"/>
        </w:rPr>
      </w:pPr>
      <w:r>
        <w:rPr>
          <w:rFonts w:cs="Calibri"/>
          <w:b/>
          <w:bCs/>
          <w:sz w:val="24"/>
          <w:szCs w:val="24"/>
        </w:rPr>
        <w:t>Características Biofísicas:</w:t>
      </w:r>
      <w:r>
        <w:rPr>
          <w:rFonts w:cs="Calibri"/>
          <w:sz w:val="24"/>
          <w:szCs w:val="24"/>
        </w:rPr>
        <w:t xml:space="preserve"> Se caracteriza por extensos bosques húmedos tropicales y una densa red hidrográfica que articula procesos ecológicos y geomorfológicos. Presenta paisajes fluviales de alta dinámica, donde los ríos (Caquetá, Putumayo, Guaviare y Amazonas) moldean continuamente el relieve mediante procesos de erosión, transporte y sedimentación.</w:t>
      </w:r>
    </w:p>
    <w:p w:rsidR="00527B8C" w:rsidRDefault="00212A57" w14:paraId="264B9AE7" w14:textId="77777777">
      <w:pPr>
        <w:spacing w:line="360" w:lineRule="auto"/>
        <w:ind w:firstLine="304" w:firstLineChars="126"/>
        <w:jc w:val="both"/>
        <w:rPr>
          <w:rFonts w:cs="Calibri"/>
          <w:sz w:val="24"/>
          <w:szCs w:val="24"/>
        </w:rPr>
      </w:pPr>
      <w:r>
        <w:rPr>
          <w:rFonts w:cs="Calibri"/>
          <w:b/>
          <w:bCs/>
          <w:sz w:val="24"/>
          <w:szCs w:val="24"/>
        </w:rPr>
        <w:t>Vulnerabilidad:</w:t>
      </w:r>
      <w:r>
        <w:rPr>
          <w:rFonts w:cs="Calibri"/>
          <w:sz w:val="24"/>
          <w:szCs w:val="24"/>
        </w:rPr>
        <w:t xml:space="preserve"> La fragilidad ecológica de la región se ve tensionada por el crecimiento de los centros urbanos y la expansión de la infraestructura.</w:t>
      </w:r>
    </w:p>
    <w:p w:rsidR="00527B8C" w:rsidRDefault="00212A57" w14:paraId="3D82547A" w14:textId="77777777">
      <w:pPr>
        <w:spacing w:line="360" w:lineRule="auto"/>
        <w:ind w:firstLine="302" w:firstLineChars="126"/>
        <w:jc w:val="both"/>
        <w:rPr>
          <w:rFonts w:cs="Calibri"/>
          <w:sz w:val="24"/>
          <w:szCs w:val="24"/>
        </w:rPr>
      </w:pPr>
      <w:r>
        <w:rPr>
          <w:rFonts w:cs="Calibri"/>
          <w:sz w:val="24"/>
          <w:szCs w:val="24"/>
        </w:rPr>
        <w:t>El ejercicio de la Minería de Materiales de Construcción (MMC) en la Amazonía colombiana está sujeto a un sistema normativo complejo que articula el régimen minero (Ley 685 de 2001) con la legislación de protección ambiental, priorizando el principio de desarrollo sostenible y la protección de un bioma estratégico (Ley 99 de 1993).</w:t>
      </w:r>
    </w:p>
    <w:p w:rsidR="00527B8C" w:rsidRDefault="00212A57" w14:paraId="44EE573F" w14:textId="77777777">
      <w:pPr>
        <w:pStyle w:val="Ttulo3"/>
        <w:spacing w:line="360" w:lineRule="auto"/>
        <w:ind w:firstLine="304" w:firstLineChars="126"/>
        <w:jc w:val="both"/>
        <w:rPr>
          <w:rFonts w:ascii="Calibri" w:hAnsi="Calibri" w:eastAsia="Calibri" w:cs="Calibri"/>
          <w:sz w:val="24"/>
          <w:szCs w:val="24"/>
          <w:lang w:val="es-CO"/>
        </w:rPr>
      </w:pPr>
      <w:bookmarkStart w:name="_Toc1096885844" w:id="1047278876"/>
      <w:r w:rsidRPr="53DEF7DD" w:rsidR="670101B5">
        <w:rPr>
          <w:sz w:val="24"/>
          <w:szCs w:val="24"/>
          <w:lang w:val="es-CO"/>
        </w:rPr>
        <w:t>5.1.1. Función de los materiales pétreos y sedimentos en la dinámica fluvial y la ecología de los ríos andino - amazónicos</w:t>
      </w:r>
      <w:bookmarkEnd w:id="1047278876"/>
    </w:p>
    <w:p w:rsidR="00CD75B8" w:rsidRDefault="00CD75B8" w14:paraId="799E183F" w14:textId="77777777">
      <w:pPr>
        <w:spacing w:after="0" w:line="360" w:lineRule="auto"/>
        <w:ind w:firstLine="302" w:firstLineChars="126"/>
        <w:jc w:val="both"/>
        <w:rPr>
          <w:rFonts w:cs="Calibri"/>
          <w:sz w:val="24"/>
          <w:szCs w:val="24"/>
          <w:lang w:val="es-CO"/>
        </w:rPr>
      </w:pPr>
    </w:p>
    <w:p w:rsidR="00527B8C" w:rsidRDefault="00212A57" w14:paraId="0695E2CF" w14:textId="0716328E">
      <w:pPr>
        <w:spacing w:after="0" w:line="360" w:lineRule="auto"/>
        <w:ind w:firstLine="302" w:firstLineChars="126"/>
        <w:jc w:val="both"/>
        <w:rPr>
          <w:rFonts w:cs="Calibri"/>
          <w:sz w:val="24"/>
          <w:szCs w:val="24"/>
          <w:lang w:val="es-CO"/>
        </w:rPr>
      </w:pPr>
      <w:r>
        <w:rPr>
          <w:rFonts w:cs="Calibri"/>
          <w:sz w:val="24"/>
          <w:szCs w:val="24"/>
          <w:lang w:val="es-CO"/>
        </w:rPr>
        <w:t xml:space="preserve">Los ríos andino-amazónicos son sistemas dinámicos que transportan agua y sedimentos desde las zonas altas hacia las llanuras amazónicas. </w:t>
      </w:r>
      <w:r>
        <w:rPr>
          <w:rStyle w:val="Refdenotaalpie"/>
          <w:rFonts w:cs="Calibri"/>
          <w:sz w:val="24"/>
          <w:szCs w:val="24"/>
          <w:lang w:val="es-CO"/>
        </w:rPr>
        <w:footnoteReference w:id="35"/>
      </w:r>
    </w:p>
    <w:p w:rsidR="00527B8C" w:rsidRDefault="00212A57" w14:paraId="3F2AC749" w14:textId="77777777">
      <w:pPr>
        <w:spacing w:after="0" w:line="360" w:lineRule="auto"/>
        <w:ind w:firstLine="302" w:firstLineChars="126"/>
        <w:jc w:val="both"/>
        <w:rPr>
          <w:rFonts w:cs="Calibri"/>
          <w:sz w:val="24"/>
          <w:szCs w:val="24"/>
          <w:lang w:val="es-CO"/>
        </w:rPr>
      </w:pPr>
      <w:r>
        <w:rPr>
          <w:rFonts w:cs="Calibri"/>
          <w:sz w:val="24"/>
          <w:szCs w:val="24"/>
          <w:lang w:val="es-CO"/>
        </w:rPr>
        <w:t xml:space="preserve">El lecho fluvial está compuesto por materiales pétreos (rocas), gravas, arenas y arcillas, que cumplen funciones críticas en la estabilidad geomorfológica y en el equilibrio ecológico del ecosistema acuático. </w:t>
      </w:r>
    </w:p>
    <w:p w:rsidR="00527B8C" w:rsidRDefault="00527B8C" w14:paraId="672C1C2D" w14:textId="77777777">
      <w:pPr>
        <w:spacing w:after="0" w:line="360" w:lineRule="auto"/>
        <w:jc w:val="both"/>
        <w:rPr>
          <w:rFonts w:cs="Calibri"/>
          <w:b/>
          <w:bCs/>
          <w:sz w:val="24"/>
          <w:szCs w:val="24"/>
          <w:lang w:val="es-CO"/>
        </w:rPr>
      </w:pPr>
    </w:p>
    <w:p w:rsidR="00527B8C" w:rsidRDefault="00212A57" w14:paraId="2241D054" w14:textId="77777777">
      <w:pPr>
        <w:pStyle w:val="Ttulo3"/>
        <w:spacing w:before="0" w:line="360" w:lineRule="auto"/>
        <w:jc w:val="both"/>
        <w:rPr>
          <w:rFonts w:ascii="Calibri" w:hAnsi="Calibri" w:eastAsia="Calibri" w:cs="Calibri"/>
          <w:sz w:val="24"/>
          <w:szCs w:val="24"/>
          <w:lang w:val="es-CO"/>
        </w:rPr>
      </w:pPr>
      <w:bookmarkStart w:name="_Toc1820748841" w:id="357608592"/>
      <w:r w:rsidRPr="53DEF7DD" w:rsidR="670101B5">
        <w:rPr>
          <w:rStyle w:val="Ttulo4Car"/>
          <w:b w:val="1"/>
          <w:bCs w:val="1"/>
          <w:i w:val="0"/>
          <w:iCs w:val="0"/>
          <w:sz w:val="24"/>
          <w:szCs w:val="24"/>
          <w:lang w:val="es-CO"/>
        </w:rPr>
        <w:t>5.1.1.1. Composición del Lecho Fluvial</w:t>
      </w:r>
      <w:r>
        <w:rPr>
          <w:rStyle w:val="Refdenotaalpie"/>
          <w:rFonts w:ascii="Calibri" w:hAnsi="Calibri" w:eastAsia="Calibri" w:cs="Calibri"/>
          <w:sz w:val="20"/>
          <w:szCs w:val="20"/>
          <w:lang w:val="es-CO"/>
        </w:rPr>
        <w:footnoteReference w:id="36"/>
      </w:r>
      <w:bookmarkEnd w:id="357608592"/>
    </w:p>
    <w:p w:rsidRPr="00CD75B8" w:rsidR="00CD75B8" w:rsidP="00CD75B8" w:rsidRDefault="00CD75B8" w14:paraId="6243BB35" w14:textId="77777777">
      <w:pPr>
        <w:tabs>
          <w:tab w:val="left" w:pos="720"/>
        </w:tabs>
        <w:spacing w:after="0" w:line="360" w:lineRule="auto"/>
        <w:ind w:left="1022"/>
        <w:jc w:val="both"/>
        <w:rPr>
          <w:rFonts w:cs="Calibri"/>
          <w:sz w:val="24"/>
          <w:szCs w:val="24"/>
          <w:lang w:val="es-CO"/>
        </w:rPr>
      </w:pPr>
    </w:p>
    <w:p w:rsidR="00527B8C" w:rsidRDefault="00212A57" w14:paraId="51E1E228" w14:textId="41151E99">
      <w:pPr>
        <w:numPr>
          <w:ilvl w:val="0"/>
          <w:numId w:val="38"/>
        </w:numPr>
        <w:spacing w:after="0" w:line="360" w:lineRule="auto"/>
        <w:ind w:firstLine="304" w:firstLineChars="126"/>
        <w:jc w:val="both"/>
        <w:rPr>
          <w:rFonts w:cs="Calibri"/>
          <w:sz w:val="24"/>
          <w:szCs w:val="24"/>
          <w:lang w:val="es-CO"/>
        </w:rPr>
      </w:pPr>
      <w:r>
        <w:rPr>
          <w:rFonts w:cs="Calibri"/>
          <w:b/>
          <w:bCs/>
          <w:sz w:val="24"/>
          <w:szCs w:val="24"/>
          <w:lang w:val="es-CO"/>
        </w:rPr>
        <w:t>Gravas (&gt;2 mm)</w:t>
      </w:r>
      <w:r>
        <w:rPr>
          <w:rFonts w:cs="Calibri"/>
          <w:sz w:val="24"/>
          <w:szCs w:val="24"/>
          <w:lang w:val="es-CO"/>
        </w:rPr>
        <w:t>: partículas gruesas que aportan peso y resistencia al arrastre,o mapeo reduciendo la erosión del lecho.</w:t>
      </w:r>
    </w:p>
    <w:p w:rsidR="00527B8C" w:rsidRDefault="00212A57" w14:paraId="61AE08D9" w14:textId="77777777">
      <w:pPr>
        <w:numPr>
          <w:ilvl w:val="0"/>
          <w:numId w:val="38"/>
        </w:numPr>
        <w:spacing w:after="0" w:line="360" w:lineRule="auto"/>
        <w:ind w:firstLine="304" w:firstLineChars="126"/>
        <w:jc w:val="both"/>
        <w:rPr>
          <w:rFonts w:cs="Calibri"/>
          <w:sz w:val="24"/>
          <w:szCs w:val="24"/>
          <w:lang w:val="es-CO"/>
        </w:rPr>
      </w:pPr>
      <w:r>
        <w:rPr>
          <w:rFonts w:cs="Calibri"/>
          <w:b/>
          <w:bCs/>
          <w:sz w:val="24"/>
          <w:szCs w:val="24"/>
          <w:lang w:val="es-CO"/>
        </w:rPr>
        <w:t>Arenas (0,05–2 mm)</w:t>
      </w:r>
      <w:r>
        <w:rPr>
          <w:rFonts w:cs="Calibri"/>
          <w:sz w:val="24"/>
          <w:szCs w:val="24"/>
          <w:lang w:val="es-CO"/>
        </w:rPr>
        <w:t>: sedimentos intermedios que permiten permeabilidad y facilitan la formación de barras y bancos.</w:t>
      </w:r>
    </w:p>
    <w:p w:rsidR="00527B8C" w:rsidRDefault="00212A57" w14:paraId="6C965162" w14:textId="77777777">
      <w:pPr>
        <w:numPr>
          <w:ilvl w:val="0"/>
          <w:numId w:val="38"/>
        </w:numPr>
        <w:spacing w:after="0" w:line="360" w:lineRule="auto"/>
        <w:ind w:firstLine="304" w:firstLineChars="126"/>
        <w:jc w:val="both"/>
        <w:rPr>
          <w:rFonts w:cs="Calibri"/>
          <w:sz w:val="24"/>
          <w:szCs w:val="24"/>
          <w:lang w:val="es-CO"/>
        </w:rPr>
      </w:pPr>
      <w:r>
        <w:rPr>
          <w:rFonts w:cs="Calibri"/>
          <w:b/>
          <w:bCs/>
          <w:sz w:val="24"/>
          <w:szCs w:val="24"/>
          <w:lang w:val="es-CO"/>
        </w:rPr>
        <w:t>Arcillas (&lt;0,002 mm)</w:t>
      </w:r>
      <w:r>
        <w:rPr>
          <w:rFonts w:cs="Calibri"/>
          <w:sz w:val="24"/>
          <w:szCs w:val="24"/>
          <w:lang w:val="es-CO"/>
        </w:rPr>
        <w:t xml:space="preserve">: partículas finas con alta cohesión, que estabilizan microestructuras y retienen agua. </w:t>
      </w:r>
    </w:p>
    <w:p w:rsidR="00527B8C" w:rsidRDefault="00212A57" w14:paraId="5DBD13A9" w14:textId="77777777">
      <w:pPr>
        <w:numPr>
          <w:ilvl w:val="0"/>
          <w:numId w:val="38"/>
        </w:numPr>
        <w:spacing w:after="0" w:line="360" w:lineRule="auto"/>
        <w:ind w:left="363" w:firstLine="720"/>
        <w:jc w:val="both"/>
        <w:rPr>
          <w:rFonts w:cs="Calibri"/>
          <w:sz w:val="24"/>
          <w:szCs w:val="24"/>
          <w:lang w:val="es-CO"/>
        </w:rPr>
      </w:pPr>
      <w:r>
        <w:rPr>
          <w:rFonts w:cs="Calibri"/>
          <w:b/>
          <w:bCs/>
          <w:sz w:val="24"/>
          <w:szCs w:val="24"/>
          <w:lang w:val="es-CO"/>
        </w:rPr>
        <w:t>Material pétreo</w:t>
      </w:r>
      <w:r>
        <w:rPr>
          <w:rFonts w:cs="Calibri"/>
          <w:sz w:val="24"/>
          <w:szCs w:val="24"/>
          <w:lang w:val="es-CO"/>
        </w:rPr>
        <w:t xml:space="preserve">: fragmentos de rocas ígneas, sedimentarias y metamórficas que forman la base estructural del cauce. </w:t>
      </w:r>
    </w:p>
    <w:p w:rsidR="00527B8C" w:rsidRDefault="00527B8C" w14:paraId="39A82C5C" w14:textId="77777777">
      <w:pPr>
        <w:spacing w:after="0" w:line="360" w:lineRule="auto"/>
        <w:jc w:val="both"/>
        <w:rPr>
          <w:rFonts w:cs="Calibri"/>
          <w:sz w:val="24"/>
          <w:szCs w:val="24"/>
          <w:lang w:val="es-CO"/>
        </w:rPr>
      </w:pPr>
    </w:p>
    <w:p w:rsidR="00527B8C" w:rsidP="53DEF7DD" w:rsidRDefault="00212A57" w14:paraId="03BAA9D4" w14:textId="77777777">
      <w:pPr>
        <w:spacing w:after="0" w:line="360" w:lineRule="auto"/>
        <w:jc w:val="both"/>
        <w:rPr>
          <w:rStyle w:val="Ttulo4Car"/>
          <w:i w:val="0"/>
          <w:iCs w:val="0"/>
          <w:sz w:val="24"/>
          <w:szCs w:val="24"/>
          <w:lang w:val="es-CO"/>
        </w:rPr>
      </w:pPr>
      <w:bookmarkStart w:name="_Toc79405819" w:id="1842606328"/>
      <w:r w:rsidRPr="53DEF7DD" w:rsidR="670101B5">
        <w:rPr>
          <w:rStyle w:val="Ttulo4Car"/>
          <w:i w:val="0"/>
          <w:iCs w:val="0"/>
          <w:sz w:val="24"/>
          <w:szCs w:val="24"/>
          <w:lang w:val="es-CO"/>
        </w:rPr>
        <w:t>5.1.1.2. Control de la Fuerza Mecánica del Agua</w:t>
      </w:r>
      <w:bookmarkEnd w:id="1842606328"/>
    </w:p>
    <w:p w:rsidR="00CD75B8" w:rsidRDefault="00CD75B8" w14:paraId="36308E8E" w14:textId="77777777">
      <w:pPr>
        <w:spacing w:after="0" w:line="360" w:lineRule="auto"/>
        <w:ind w:firstLine="302" w:firstLineChars="126"/>
        <w:jc w:val="both"/>
        <w:rPr>
          <w:rFonts w:cs="Calibri"/>
          <w:sz w:val="24"/>
          <w:szCs w:val="24"/>
          <w:lang w:val="es-CO"/>
        </w:rPr>
      </w:pPr>
    </w:p>
    <w:p w:rsidR="00527B8C" w:rsidRDefault="00212A57" w14:paraId="2B11ECC7" w14:textId="5B71C21C">
      <w:pPr>
        <w:spacing w:after="0" w:line="360" w:lineRule="auto"/>
        <w:ind w:firstLine="302" w:firstLineChars="126"/>
        <w:jc w:val="both"/>
        <w:rPr>
          <w:rFonts w:cs="Calibri"/>
          <w:sz w:val="24"/>
          <w:szCs w:val="24"/>
          <w:lang w:val="es-CO"/>
        </w:rPr>
      </w:pPr>
      <w:r>
        <w:rPr>
          <w:rFonts w:cs="Calibri"/>
          <w:sz w:val="24"/>
          <w:szCs w:val="24"/>
          <w:lang w:val="es-CO"/>
        </w:rPr>
        <w:t>La fuerza tractiva o fuerza de arrastre ejercida por el flujo depende de la pendiente, el caudal y la rugosidad del lecho. Los materiales gruesos (gravas y rocas) aumentan la rugosidad, reduciendo la velocidad del flujo y disipando energía, lo que mitiga la erosión y estabiliza el cauce. Las arenas y arcillas, por su cohesión y permeabilidad, contribuyen a la resistencia al inicio del movimiento y a la formación de estructuras sedimentarias que amortiguan la fuerza hidráulica.</w:t>
      </w:r>
      <w:r>
        <w:rPr>
          <w:rStyle w:val="Refdenotaalpie"/>
          <w:rFonts w:cs="Calibri"/>
          <w:sz w:val="24"/>
          <w:szCs w:val="24"/>
          <w:lang w:val="es-CO"/>
        </w:rPr>
        <w:footnoteReference w:id="37"/>
      </w:r>
    </w:p>
    <w:p w:rsidR="00527B8C" w:rsidRDefault="00527B8C" w14:paraId="69B56210" w14:textId="77777777">
      <w:pPr>
        <w:spacing w:after="0" w:line="360" w:lineRule="auto"/>
        <w:jc w:val="both"/>
        <w:rPr>
          <w:rFonts w:cs="Calibri"/>
          <w:b/>
          <w:bCs/>
          <w:sz w:val="24"/>
          <w:szCs w:val="24"/>
          <w:lang w:val="es-CO"/>
        </w:rPr>
      </w:pPr>
    </w:p>
    <w:p w:rsidR="00527B8C" w:rsidP="53DEF7DD" w:rsidRDefault="00212A57" w14:paraId="6E7FDC7F" w14:textId="77777777">
      <w:pPr>
        <w:spacing w:after="0" w:line="360" w:lineRule="auto"/>
        <w:jc w:val="both"/>
        <w:rPr>
          <w:rStyle w:val="Ttulo4Car"/>
          <w:i w:val="0"/>
          <w:iCs w:val="0"/>
          <w:sz w:val="24"/>
          <w:szCs w:val="24"/>
          <w:lang w:val="es-CO"/>
        </w:rPr>
      </w:pPr>
      <w:bookmarkStart w:name="_Toc1753111298" w:id="391021606"/>
      <w:r w:rsidRPr="53DEF7DD" w:rsidR="670101B5">
        <w:rPr>
          <w:rStyle w:val="Ttulo4Car"/>
          <w:i w:val="0"/>
          <w:iCs w:val="0"/>
          <w:sz w:val="24"/>
          <w:szCs w:val="24"/>
          <w:lang w:val="es-CO"/>
        </w:rPr>
        <w:t>5.1.1.3. Estabilización del Lecho, Orillas y Caudal</w:t>
      </w:r>
      <w:bookmarkEnd w:id="391021606"/>
    </w:p>
    <w:p w:rsidRPr="00CD75B8" w:rsidR="00CD75B8" w:rsidP="00CD75B8" w:rsidRDefault="00CD75B8" w14:paraId="72839F7A" w14:textId="77777777">
      <w:pPr>
        <w:tabs>
          <w:tab w:val="left" w:pos="720"/>
        </w:tabs>
        <w:spacing w:after="0" w:line="360" w:lineRule="auto"/>
        <w:ind w:left="1022"/>
        <w:jc w:val="both"/>
        <w:rPr>
          <w:rFonts w:cs="Calibri"/>
          <w:sz w:val="24"/>
          <w:szCs w:val="24"/>
          <w:lang w:val="es-CO"/>
        </w:rPr>
      </w:pPr>
    </w:p>
    <w:p w:rsidR="00527B8C" w:rsidRDefault="00212A57" w14:paraId="3A3AE86D" w14:textId="2B157DB0">
      <w:pPr>
        <w:numPr>
          <w:ilvl w:val="0"/>
          <w:numId w:val="39"/>
        </w:numPr>
        <w:spacing w:after="0" w:line="360" w:lineRule="auto"/>
        <w:ind w:firstLine="304" w:firstLineChars="126"/>
        <w:jc w:val="both"/>
        <w:rPr>
          <w:rFonts w:cs="Calibri"/>
          <w:sz w:val="24"/>
          <w:szCs w:val="24"/>
          <w:lang w:val="es-CO"/>
        </w:rPr>
      </w:pPr>
      <w:r>
        <w:rPr>
          <w:rFonts w:cs="Calibri"/>
          <w:b/>
          <w:bCs/>
          <w:sz w:val="24"/>
          <w:szCs w:val="24"/>
          <w:lang w:val="es-CO"/>
        </w:rPr>
        <w:t>Lecho</w:t>
      </w:r>
      <w:r>
        <w:rPr>
          <w:rFonts w:cs="Calibri"/>
          <w:sz w:val="24"/>
          <w:szCs w:val="24"/>
          <w:lang w:val="es-CO"/>
        </w:rPr>
        <w:t>: la combinación de gravas y arenas crea una matriz estable que soporta el peso del flujo y evita socavaciones profundas.</w:t>
      </w:r>
    </w:p>
    <w:p w:rsidR="00527B8C" w:rsidRDefault="00212A57" w14:paraId="00F373D8" w14:textId="77777777">
      <w:pPr>
        <w:numPr>
          <w:ilvl w:val="0"/>
          <w:numId w:val="39"/>
        </w:numPr>
        <w:spacing w:after="0" w:line="360" w:lineRule="auto"/>
        <w:ind w:firstLine="304" w:firstLineChars="126"/>
        <w:jc w:val="both"/>
        <w:rPr>
          <w:rFonts w:cs="Calibri"/>
          <w:sz w:val="24"/>
          <w:szCs w:val="24"/>
          <w:lang w:val="es-CO"/>
        </w:rPr>
      </w:pPr>
      <w:r>
        <w:rPr>
          <w:rFonts w:cs="Calibri"/>
          <w:b/>
          <w:bCs/>
          <w:sz w:val="24"/>
          <w:szCs w:val="24"/>
          <w:lang w:val="es-CO"/>
        </w:rPr>
        <w:t>Orillas</w:t>
      </w:r>
      <w:r>
        <w:rPr>
          <w:rFonts w:cs="Calibri"/>
          <w:sz w:val="24"/>
          <w:szCs w:val="24"/>
          <w:lang w:val="es-CO"/>
        </w:rPr>
        <w:t>: las arcillas y limos actúan como “cemento natural”, reduciendo la erosión lateral y favoreciendo la vegetación ribereña.</w:t>
      </w:r>
    </w:p>
    <w:p w:rsidR="00527B8C" w:rsidRDefault="00212A57" w14:paraId="16AFDB92" w14:textId="77777777">
      <w:pPr>
        <w:numPr>
          <w:ilvl w:val="0"/>
          <w:numId w:val="39"/>
        </w:numPr>
        <w:spacing w:after="0" w:line="360" w:lineRule="auto"/>
        <w:ind w:firstLine="304" w:firstLineChars="126"/>
        <w:jc w:val="both"/>
        <w:rPr>
          <w:rFonts w:cs="Calibri"/>
          <w:sz w:val="24"/>
          <w:szCs w:val="24"/>
          <w:lang w:val="es-CO"/>
        </w:rPr>
      </w:pPr>
      <w:r>
        <w:rPr>
          <w:rFonts w:cs="Calibri"/>
          <w:b/>
          <w:bCs/>
          <w:sz w:val="24"/>
          <w:szCs w:val="24"/>
          <w:lang w:val="es-CO"/>
        </w:rPr>
        <w:t>Caudal</w:t>
      </w:r>
      <w:r>
        <w:rPr>
          <w:rFonts w:cs="Calibri"/>
          <w:sz w:val="24"/>
          <w:szCs w:val="24"/>
          <w:lang w:val="es-CO"/>
        </w:rPr>
        <w:t>: la presencia de sedimentos regula la sección hidráulica y amortigua variaciones extremas de caudal, reduciendo riesgos de avenidas.</w:t>
      </w:r>
      <w:r>
        <w:rPr>
          <w:rStyle w:val="Refdenotaalpie"/>
          <w:rFonts w:cs="Calibri"/>
          <w:sz w:val="24"/>
          <w:szCs w:val="24"/>
          <w:lang w:val="es-CO"/>
        </w:rPr>
        <w:footnoteReference w:id="38"/>
      </w:r>
    </w:p>
    <w:p w:rsidR="00527B8C" w:rsidRDefault="00527B8C" w14:paraId="7387290F" w14:textId="77777777">
      <w:pPr>
        <w:spacing w:after="0" w:line="360" w:lineRule="auto"/>
        <w:jc w:val="both"/>
        <w:rPr>
          <w:rFonts w:cs="Calibri"/>
          <w:b/>
          <w:bCs/>
          <w:sz w:val="24"/>
          <w:szCs w:val="24"/>
          <w:lang w:val="es-CO"/>
        </w:rPr>
      </w:pPr>
    </w:p>
    <w:p w:rsidR="00527B8C" w:rsidRDefault="00212A57" w14:paraId="233F128F" w14:textId="77777777">
      <w:pPr>
        <w:spacing w:after="0" w:line="360" w:lineRule="auto"/>
        <w:jc w:val="both"/>
        <w:rPr>
          <w:rStyle w:val="Ttulo4Car"/>
          <w:b w:val="0"/>
          <w:bCs w:val="0"/>
          <w:sz w:val="24"/>
          <w:szCs w:val="24"/>
          <w:lang w:val="es-CO"/>
        </w:rPr>
      </w:pPr>
      <w:bookmarkStart w:name="_Toc2000416272" w:id="48021702"/>
      <w:r w:rsidRPr="53DEF7DD" w:rsidR="670101B5">
        <w:rPr>
          <w:rStyle w:val="Ttulo4Car"/>
          <w:sz w:val="24"/>
          <w:szCs w:val="24"/>
          <w:lang w:val="es-CO"/>
        </w:rPr>
        <w:t>5.1.1.4. Relación Ecológica y Servicios Ecosistémico</w:t>
      </w:r>
      <w:r w:rsidRPr="53DEF7DD" w:rsidR="670101B5">
        <w:rPr>
          <w:rStyle w:val="Ttulo4Car"/>
          <w:b w:val="0"/>
          <w:bCs w:val="0"/>
          <w:sz w:val="24"/>
          <w:szCs w:val="24"/>
          <w:lang w:val="es-CO"/>
        </w:rPr>
        <w:t>s</w:t>
      </w:r>
      <w:bookmarkEnd w:id="48021702"/>
    </w:p>
    <w:p w:rsidR="00CD75B8" w:rsidRDefault="00CD75B8" w14:paraId="4FBB1314" w14:textId="77777777">
      <w:pPr>
        <w:spacing w:after="0" w:line="360" w:lineRule="auto"/>
        <w:ind w:firstLine="302" w:firstLineChars="126"/>
        <w:jc w:val="both"/>
        <w:rPr>
          <w:rFonts w:cs="Calibri"/>
          <w:sz w:val="24"/>
          <w:szCs w:val="24"/>
          <w:lang w:val="es-CO"/>
        </w:rPr>
      </w:pPr>
    </w:p>
    <w:p w:rsidR="00527B8C" w:rsidRDefault="00212A57" w14:paraId="45B7BB9C" w14:textId="3E8A03A8">
      <w:pPr>
        <w:spacing w:after="0" w:line="360" w:lineRule="auto"/>
        <w:ind w:firstLine="302" w:firstLineChars="126"/>
        <w:jc w:val="both"/>
        <w:rPr>
          <w:rFonts w:cs="Calibri"/>
          <w:sz w:val="24"/>
          <w:szCs w:val="24"/>
          <w:lang w:val="es-CO"/>
        </w:rPr>
      </w:pPr>
      <w:r>
        <w:rPr>
          <w:rFonts w:cs="Calibri"/>
          <w:sz w:val="24"/>
          <w:szCs w:val="24"/>
          <w:lang w:val="es-CO"/>
        </w:rPr>
        <w:t xml:space="preserve">Los sedimentos no son solo soporte físico, sino también </w:t>
      </w:r>
      <w:r>
        <w:rPr>
          <w:rFonts w:cs="Calibri"/>
          <w:b/>
          <w:bCs/>
          <w:sz w:val="24"/>
          <w:szCs w:val="24"/>
          <w:lang w:val="es-CO"/>
        </w:rPr>
        <w:t>base ecológica</w:t>
      </w:r>
      <w:r>
        <w:rPr>
          <w:rFonts w:cs="Calibri"/>
          <w:sz w:val="24"/>
          <w:szCs w:val="24"/>
          <w:lang w:val="es-CO"/>
        </w:rPr>
        <w:t>:</w:t>
      </w:r>
    </w:p>
    <w:p w:rsidR="00527B8C" w:rsidRDefault="00212A57" w14:paraId="34A52A56" w14:textId="77777777">
      <w:pPr>
        <w:spacing w:after="0" w:line="360" w:lineRule="auto"/>
        <w:ind w:firstLine="304" w:firstLineChars="126"/>
        <w:jc w:val="both"/>
        <w:rPr>
          <w:rFonts w:cs="Calibri"/>
          <w:sz w:val="24"/>
          <w:szCs w:val="24"/>
          <w:lang w:val="es-CO"/>
        </w:rPr>
      </w:pPr>
      <w:r>
        <w:rPr>
          <w:rFonts w:cs="Calibri"/>
          <w:b/>
          <w:bCs/>
          <w:sz w:val="24"/>
          <w:szCs w:val="24"/>
          <w:lang w:val="es-CO"/>
        </w:rPr>
        <w:t>Hábitats acuáticos</w:t>
      </w:r>
      <w:r>
        <w:rPr>
          <w:rFonts w:cs="Calibri"/>
          <w:sz w:val="24"/>
          <w:szCs w:val="24"/>
          <w:lang w:val="es-CO"/>
        </w:rPr>
        <w:t>: gravas y arenas crean refugios para peces y macroinvertebrados; arcillas retienen nutrientes esenciales.</w:t>
      </w:r>
    </w:p>
    <w:p w:rsidR="00CD75B8" w:rsidRDefault="00CD75B8" w14:paraId="319213B6" w14:textId="77777777">
      <w:pPr>
        <w:spacing w:after="0" w:line="360" w:lineRule="auto"/>
        <w:ind w:firstLine="302" w:firstLineChars="126"/>
        <w:jc w:val="both"/>
        <w:rPr>
          <w:rFonts w:cs="Calibri"/>
          <w:sz w:val="24"/>
          <w:szCs w:val="24"/>
          <w:lang w:val="es-CO"/>
        </w:rPr>
      </w:pPr>
    </w:p>
    <w:p w:rsidR="00527B8C" w:rsidRDefault="00212A57" w14:paraId="3F55F6D7" w14:textId="77777777">
      <w:pPr>
        <w:spacing w:after="0" w:line="360" w:lineRule="auto"/>
        <w:ind w:firstLine="302" w:firstLineChars="126"/>
        <w:jc w:val="both"/>
        <w:rPr>
          <w:rFonts w:cs="Calibri"/>
          <w:sz w:val="24"/>
          <w:szCs w:val="24"/>
          <w:lang w:val="es-CO"/>
        </w:rPr>
      </w:pPr>
      <w:r>
        <w:rPr>
          <w:rFonts w:cs="Calibri"/>
          <w:sz w:val="24"/>
          <w:szCs w:val="24"/>
          <w:lang w:val="es-CO"/>
        </w:rPr>
        <w:t>En los ríos amazónicos, la estructura del lecho compuesta por gravas, arenas y arcillas cumple funciones críticas para la biodiversidad y la estabilidad del cauce. Las gravas y arenas crean refugios para peces bentónicos y macroinvertebrados, mientras que las arcillas retienen nutrientes esenciales, favoreciendo la productividad primaria. Estos sedimentos regulan la fuerza mecánica del agua, estabilizan el lecho y las orillas, y sostienen procesos ecológicos como el ciclo de nutrientes y la conectividad flu</w:t>
      </w:r>
      <w:r>
        <w:rPr>
          <w:rFonts w:cs="Calibri"/>
          <w:sz w:val="24"/>
          <w:szCs w:val="24"/>
          <w:lang w:val="es-CO"/>
        </w:rPr>
        <w:t>vial.</w:t>
      </w:r>
    </w:p>
    <w:p w:rsidR="00CD75B8" w:rsidRDefault="00CD75B8" w14:paraId="4A92BDED" w14:textId="77777777">
      <w:pPr>
        <w:spacing w:after="0" w:line="360" w:lineRule="auto"/>
        <w:ind w:firstLine="302" w:firstLineChars="126"/>
        <w:jc w:val="both"/>
        <w:rPr>
          <w:rFonts w:cs="Calibri"/>
          <w:sz w:val="24"/>
          <w:szCs w:val="24"/>
          <w:lang w:val="es-CO"/>
        </w:rPr>
      </w:pPr>
    </w:p>
    <w:p w:rsidR="00CD75B8" w:rsidRDefault="00CD75B8" w14:paraId="10302CC6" w14:textId="77777777">
      <w:pPr>
        <w:spacing w:after="0" w:line="360" w:lineRule="auto"/>
        <w:ind w:firstLine="302" w:firstLineChars="126"/>
        <w:jc w:val="both"/>
        <w:rPr>
          <w:rFonts w:cs="Calibri"/>
          <w:sz w:val="24"/>
          <w:szCs w:val="24"/>
          <w:lang w:val="es-CO"/>
        </w:rPr>
      </w:pPr>
    </w:p>
    <w:p w:rsidRPr="00CD75B8" w:rsidR="00CD75B8" w:rsidP="00CD75B8" w:rsidRDefault="00CD75B8" w14:paraId="616A4E1A" w14:textId="0D5BA4E5">
      <w:pPr>
        <w:pStyle w:val="Descripcin"/>
        <w:spacing w:after="160"/>
        <w:jc w:val="center"/>
        <w:rPr>
          <w:rFonts w:cs="Calibri"/>
          <w:sz w:val="20"/>
          <w:szCs w:val="20"/>
          <w:lang w:val="es-CO"/>
        </w:rPr>
      </w:pPr>
      <w:bookmarkStart w:name="_Toc216514446" w:id="72"/>
      <w:r w:rsidRPr="00CD75B8">
        <w:rPr>
          <w:sz w:val="20"/>
          <w:szCs w:val="20"/>
        </w:rPr>
        <w:t xml:space="preserve">Gráfico </w:t>
      </w:r>
      <w:r w:rsidRPr="00CD75B8">
        <w:rPr>
          <w:sz w:val="20"/>
          <w:szCs w:val="20"/>
        </w:rPr>
        <w:fldChar w:fldCharType="begin"/>
      </w:r>
      <w:r w:rsidRPr="00CD75B8">
        <w:rPr>
          <w:sz w:val="20"/>
          <w:szCs w:val="20"/>
        </w:rPr>
        <w:instrText xml:space="preserve"> SEQ Gráfico \* ARABIC </w:instrText>
      </w:r>
      <w:r w:rsidRPr="00CD75B8">
        <w:rPr>
          <w:sz w:val="20"/>
          <w:szCs w:val="20"/>
        </w:rPr>
        <w:fldChar w:fldCharType="separate"/>
      </w:r>
      <w:r w:rsidR="00EE79CE">
        <w:rPr>
          <w:noProof/>
          <w:sz w:val="20"/>
          <w:szCs w:val="20"/>
        </w:rPr>
        <w:t>2</w:t>
      </w:r>
      <w:r w:rsidRPr="00CD75B8">
        <w:rPr>
          <w:sz w:val="20"/>
          <w:szCs w:val="20"/>
        </w:rPr>
        <w:fldChar w:fldCharType="end"/>
      </w:r>
      <w:r w:rsidRPr="00CD75B8">
        <w:rPr>
          <w:sz w:val="20"/>
          <w:szCs w:val="20"/>
        </w:rPr>
        <w:t xml:space="preserve"> Perfil del lecho amazónico y distribución de hábitats.</w:t>
      </w:r>
      <w:bookmarkEnd w:id="72"/>
    </w:p>
    <w:p w:rsidR="00527B8C" w:rsidP="00CD75B8" w:rsidRDefault="00212A57" w14:paraId="6515D563" w14:textId="77777777">
      <w:pPr>
        <w:spacing w:after="0" w:line="360" w:lineRule="auto"/>
        <w:ind w:left="360"/>
        <w:jc w:val="center"/>
        <w:rPr>
          <w:rFonts w:cs="Calibri"/>
          <w:sz w:val="24"/>
          <w:szCs w:val="24"/>
        </w:rPr>
      </w:pPr>
      <w:r>
        <w:rPr>
          <w:noProof/>
        </w:rPr>
        <w:drawing>
          <wp:inline distT="0" distB="0" distL="0" distR="0" wp14:anchorId="0579FD62" wp14:editId="33FA5226">
            <wp:extent cx="4335780" cy="2890520"/>
            <wp:effectExtent l="0" t="0" r="7620" b="5080"/>
            <wp:docPr id="10614122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412268" name="Picture 1"/>
                    <pic:cNvPicPr>
                      <a:picLocks noChangeAspect="1"/>
                    </pic:cNvPicPr>
                  </pic:nvPicPr>
                  <pic:blipFill>
                    <a:blip r:embed="rId23"/>
                    <a:stretch>
                      <a:fillRect/>
                    </a:stretch>
                  </pic:blipFill>
                  <pic:spPr>
                    <a:xfrm>
                      <a:off x="0" y="0"/>
                      <a:ext cx="4335780" cy="2890520"/>
                    </a:xfrm>
                    <a:prstGeom prst="rect">
                      <a:avLst/>
                    </a:prstGeom>
                  </pic:spPr>
                </pic:pic>
              </a:graphicData>
            </a:graphic>
          </wp:inline>
        </w:drawing>
      </w:r>
    </w:p>
    <w:p w:rsidRPr="00CD75B8" w:rsidR="00527B8C" w:rsidP="00CD75B8" w:rsidRDefault="00212A57" w14:paraId="11A828B6" w14:textId="38AB4BDB">
      <w:pPr>
        <w:spacing w:after="0" w:line="360" w:lineRule="auto"/>
        <w:ind w:left="360"/>
        <w:jc w:val="center"/>
        <w:rPr>
          <w:rFonts w:cs="Calibri"/>
          <w:i/>
          <w:iCs/>
          <w:sz w:val="20"/>
          <w:szCs w:val="20"/>
          <w:lang w:val="es-CO"/>
        </w:rPr>
      </w:pPr>
      <w:r w:rsidRPr="00CD75B8">
        <w:rPr>
          <w:rFonts w:cs="Calibri"/>
          <w:i/>
          <w:iCs/>
          <w:sz w:val="20"/>
          <w:szCs w:val="20"/>
          <w:lang w:val="es-CO"/>
        </w:rPr>
        <w:t>Fuente:</w:t>
      </w:r>
      <w:r w:rsidR="00643496">
        <w:rPr>
          <w:rFonts w:cs="Calibri"/>
          <w:i/>
          <w:iCs/>
          <w:sz w:val="20"/>
          <w:szCs w:val="20"/>
          <w:lang w:val="es-CO"/>
        </w:rPr>
        <w:t xml:space="preserve"> Elaboración propia </w:t>
      </w:r>
      <w:r w:rsidRPr="00CD75B8">
        <w:rPr>
          <w:rFonts w:cs="Calibri"/>
          <w:i/>
          <w:iCs/>
          <w:sz w:val="20"/>
          <w:szCs w:val="20"/>
          <w:lang w:val="es-CO"/>
        </w:rPr>
        <w:t>Sala de Monitoreo.</w:t>
      </w:r>
    </w:p>
    <w:p w:rsidR="00CD75B8" w:rsidRDefault="00CD75B8" w14:paraId="0F06B4A7" w14:textId="77777777">
      <w:pPr>
        <w:spacing w:after="0" w:line="360" w:lineRule="auto"/>
        <w:ind w:left="360"/>
        <w:jc w:val="both"/>
        <w:rPr>
          <w:rFonts w:cs="Calibri"/>
          <w:sz w:val="24"/>
          <w:szCs w:val="24"/>
          <w:lang w:val="es-CO"/>
        </w:rPr>
      </w:pPr>
    </w:p>
    <w:p w:rsidRPr="00643496" w:rsidR="00527B8C" w:rsidP="00643496" w:rsidRDefault="00643496" w14:paraId="7B2E7740" w14:textId="1D680BD5">
      <w:pPr>
        <w:pStyle w:val="Descripcin"/>
        <w:spacing w:after="160"/>
        <w:jc w:val="center"/>
        <w:rPr>
          <w:rFonts w:cs="Calibri"/>
          <w:sz w:val="20"/>
          <w:szCs w:val="20"/>
          <w:lang w:val="es-CO"/>
        </w:rPr>
      </w:pPr>
      <w:bookmarkStart w:name="_Toc216558756" w:id="73"/>
      <w:r w:rsidRPr="00643496">
        <w:rPr>
          <w:sz w:val="20"/>
          <w:szCs w:val="20"/>
        </w:rPr>
        <w:t xml:space="preserve">Tabla </w:t>
      </w:r>
      <w:r w:rsidRPr="00643496">
        <w:rPr>
          <w:sz w:val="20"/>
          <w:szCs w:val="20"/>
        </w:rPr>
        <w:fldChar w:fldCharType="begin"/>
      </w:r>
      <w:r w:rsidRPr="00643496">
        <w:rPr>
          <w:sz w:val="20"/>
          <w:szCs w:val="20"/>
        </w:rPr>
        <w:instrText xml:space="preserve"> SEQ Tabla \* ARABIC </w:instrText>
      </w:r>
      <w:r w:rsidRPr="00643496">
        <w:rPr>
          <w:sz w:val="20"/>
          <w:szCs w:val="20"/>
        </w:rPr>
        <w:fldChar w:fldCharType="separate"/>
      </w:r>
      <w:r w:rsidR="00EE79CE">
        <w:rPr>
          <w:noProof/>
          <w:sz w:val="20"/>
          <w:szCs w:val="20"/>
        </w:rPr>
        <w:t>12</w:t>
      </w:r>
      <w:r w:rsidRPr="00643496">
        <w:rPr>
          <w:sz w:val="20"/>
          <w:szCs w:val="20"/>
        </w:rPr>
        <w:fldChar w:fldCharType="end"/>
      </w:r>
      <w:r w:rsidRPr="00643496">
        <w:rPr>
          <w:sz w:val="20"/>
          <w:szCs w:val="20"/>
        </w:rPr>
        <w:t xml:space="preserve"> Tabla de funciones ecológicas por tipo de sedimento</w:t>
      </w:r>
      <w:bookmarkEnd w:id="73"/>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885"/>
        <w:gridCol w:w="3148"/>
        <w:gridCol w:w="3597"/>
      </w:tblGrid>
      <w:tr w:rsidR="00527B8C" w14:paraId="13BC2AE0" w14:textId="77777777">
        <w:trPr>
          <w:trHeight w:val="300"/>
        </w:trPr>
        <w:tc>
          <w:tcPr>
            <w:tcW w:w="1885" w:type="dxa"/>
            <w:shd w:val="clear" w:color="auto" w:fill="1B1F7D"/>
            <w:vAlign w:val="center"/>
          </w:tcPr>
          <w:p w:rsidR="00527B8C" w:rsidP="00643496" w:rsidRDefault="00212A57" w14:paraId="40A1C7BD" w14:textId="77777777">
            <w:pPr>
              <w:spacing w:after="0" w:line="240" w:lineRule="auto"/>
              <w:jc w:val="center"/>
              <w:rPr>
                <w:rFonts w:cs="Calibri"/>
                <w:b/>
                <w:bCs/>
                <w:sz w:val="20"/>
                <w:szCs w:val="20"/>
                <w:lang w:val="en-US"/>
              </w:rPr>
            </w:pPr>
            <w:r>
              <w:rPr>
                <w:rFonts w:cs="Calibri"/>
                <w:b/>
                <w:bCs/>
                <w:sz w:val="20"/>
                <w:szCs w:val="20"/>
                <w:lang w:val="en-US"/>
              </w:rPr>
              <w:t>Tipo de sedimento</w:t>
            </w:r>
          </w:p>
        </w:tc>
        <w:tc>
          <w:tcPr>
            <w:tcW w:w="3148" w:type="dxa"/>
            <w:shd w:val="clear" w:color="auto" w:fill="1B1F7D"/>
            <w:vAlign w:val="center"/>
          </w:tcPr>
          <w:p w:rsidR="00527B8C" w:rsidP="00643496" w:rsidRDefault="00212A57" w14:paraId="1978704F" w14:textId="77777777">
            <w:pPr>
              <w:spacing w:after="0" w:line="240" w:lineRule="auto"/>
              <w:jc w:val="center"/>
              <w:rPr>
                <w:rFonts w:cs="Calibri"/>
                <w:b/>
                <w:bCs/>
                <w:sz w:val="20"/>
                <w:szCs w:val="20"/>
                <w:lang w:val="en-US"/>
              </w:rPr>
            </w:pPr>
            <w:r>
              <w:rPr>
                <w:rFonts w:cs="Calibri"/>
                <w:b/>
                <w:bCs/>
                <w:sz w:val="20"/>
                <w:szCs w:val="20"/>
                <w:lang w:val="en-US"/>
              </w:rPr>
              <w:t>Función física</w:t>
            </w:r>
          </w:p>
        </w:tc>
        <w:tc>
          <w:tcPr>
            <w:tcW w:w="3597" w:type="dxa"/>
            <w:shd w:val="clear" w:color="auto" w:fill="1B1F7D"/>
            <w:vAlign w:val="center"/>
          </w:tcPr>
          <w:p w:rsidR="00527B8C" w:rsidP="00643496" w:rsidRDefault="00212A57" w14:paraId="3C794796" w14:textId="77777777">
            <w:pPr>
              <w:spacing w:after="0" w:line="240" w:lineRule="auto"/>
              <w:jc w:val="center"/>
              <w:rPr>
                <w:rFonts w:cs="Calibri"/>
                <w:b/>
                <w:bCs/>
                <w:sz w:val="20"/>
                <w:szCs w:val="20"/>
                <w:lang w:val="en-US"/>
              </w:rPr>
            </w:pPr>
            <w:r>
              <w:rPr>
                <w:rFonts w:cs="Calibri"/>
                <w:b/>
                <w:bCs/>
                <w:sz w:val="20"/>
                <w:szCs w:val="20"/>
                <w:lang w:val="en-US"/>
              </w:rPr>
              <w:t>Función ecológica</w:t>
            </w:r>
          </w:p>
        </w:tc>
      </w:tr>
      <w:tr w:rsidR="00527B8C" w14:paraId="7766A4EA" w14:textId="77777777">
        <w:trPr>
          <w:trHeight w:val="500"/>
        </w:trPr>
        <w:tc>
          <w:tcPr>
            <w:tcW w:w="1885" w:type="dxa"/>
            <w:vAlign w:val="center"/>
          </w:tcPr>
          <w:p w:rsidR="00527B8C" w:rsidP="00643496" w:rsidRDefault="00212A57" w14:paraId="34C57DA3" w14:textId="77777777">
            <w:pPr>
              <w:spacing w:after="0" w:line="240" w:lineRule="auto"/>
              <w:jc w:val="both"/>
              <w:rPr>
                <w:rFonts w:cs="Calibri"/>
                <w:sz w:val="20"/>
                <w:szCs w:val="20"/>
                <w:lang w:val="en-US"/>
              </w:rPr>
            </w:pPr>
            <w:r>
              <w:rPr>
                <w:rFonts w:cs="Calibri"/>
                <w:sz w:val="20"/>
                <w:szCs w:val="20"/>
                <w:lang w:val="en-US"/>
              </w:rPr>
              <w:t>Gravas</w:t>
            </w:r>
          </w:p>
        </w:tc>
        <w:tc>
          <w:tcPr>
            <w:tcW w:w="3148" w:type="dxa"/>
            <w:vAlign w:val="center"/>
          </w:tcPr>
          <w:p w:rsidR="00527B8C" w:rsidP="00643496" w:rsidRDefault="00212A57" w14:paraId="17719AC7" w14:textId="77777777">
            <w:pPr>
              <w:spacing w:after="0" w:line="240" w:lineRule="auto"/>
              <w:jc w:val="both"/>
              <w:rPr>
                <w:rFonts w:cs="Calibri"/>
                <w:sz w:val="20"/>
                <w:szCs w:val="20"/>
                <w:lang w:val="es-CO"/>
              </w:rPr>
            </w:pPr>
            <w:r>
              <w:rPr>
                <w:rFonts w:cs="Calibri"/>
                <w:sz w:val="20"/>
                <w:szCs w:val="20"/>
                <w:lang w:val="es-CO"/>
              </w:rPr>
              <w:t>Aumentan rugosidad, reducen velocidad del flujo</w:t>
            </w:r>
          </w:p>
        </w:tc>
        <w:tc>
          <w:tcPr>
            <w:tcW w:w="3597" w:type="dxa"/>
            <w:vAlign w:val="center"/>
          </w:tcPr>
          <w:p w:rsidR="00527B8C" w:rsidP="00643496" w:rsidRDefault="00212A57" w14:paraId="7C4B7F7C" w14:textId="77777777">
            <w:pPr>
              <w:spacing w:after="0" w:line="240" w:lineRule="auto"/>
              <w:jc w:val="both"/>
              <w:rPr>
                <w:rFonts w:cs="Calibri"/>
                <w:sz w:val="20"/>
                <w:szCs w:val="20"/>
                <w:lang w:val="es-CO"/>
              </w:rPr>
            </w:pPr>
            <w:r>
              <w:rPr>
                <w:rFonts w:cs="Calibri"/>
                <w:sz w:val="20"/>
                <w:szCs w:val="20"/>
                <w:lang w:val="es-CO"/>
              </w:rPr>
              <w:t>Refugio para peces bentónicos y zonas de desove</w:t>
            </w:r>
          </w:p>
        </w:tc>
      </w:tr>
      <w:tr w:rsidR="00527B8C" w14:paraId="5ACC27D7" w14:textId="77777777">
        <w:trPr>
          <w:trHeight w:val="300"/>
        </w:trPr>
        <w:tc>
          <w:tcPr>
            <w:tcW w:w="1885" w:type="dxa"/>
            <w:vAlign w:val="center"/>
          </w:tcPr>
          <w:p w:rsidR="00527B8C" w:rsidP="00643496" w:rsidRDefault="00212A57" w14:paraId="37D1A25D" w14:textId="77777777">
            <w:pPr>
              <w:spacing w:after="0" w:line="240" w:lineRule="auto"/>
              <w:jc w:val="both"/>
              <w:rPr>
                <w:rFonts w:cs="Calibri"/>
                <w:sz w:val="20"/>
                <w:szCs w:val="20"/>
              </w:rPr>
            </w:pPr>
            <w:r>
              <w:rPr>
                <w:rFonts w:cs="Calibri"/>
                <w:sz w:val="20"/>
                <w:szCs w:val="20"/>
              </w:rPr>
              <w:t>Arenas</w:t>
            </w:r>
          </w:p>
        </w:tc>
        <w:tc>
          <w:tcPr>
            <w:tcW w:w="3148" w:type="dxa"/>
            <w:vAlign w:val="center"/>
          </w:tcPr>
          <w:p w:rsidR="00527B8C" w:rsidP="00643496" w:rsidRDefault="00212A57" w14:paraId="004E9F48" w14:textId="77777777">
            <w:pPr>
              <w:spacing w:after="0" w:line="240" w:lineRule="auto"/>
              <w:jc w:val="both"/>
              <w:rPr>
                <w:rFonts w:cs="Calibri"/>
                <w:sz w:val="20"/>
                <w:szCs w:val="20"/>
                <w:lang w:val="es-CO"/>
              </w:rPr>
            </w:pPr>
            <w:r>
              <w:rPr>
                <w:rFonts w:cs="Calibri"/>
                <w:sz w:val="20"/>
                <w:szCs w:val="20"/>
                <w:lang w:val="es-CO"/>
              </w:rPr>
              <w:t>Forman barras y bancos, regulan caudal</w:t>
            </w:r>
          </w:p>
        </w:tc>
        <w:tc>
          <w:tcPr>
            <w:tcW w:w="3597" w:type="dxa"/>
            <w:vAlign w:val="center"/>
          </w:tcPr>
          <w:p w:rsidR="00527B8C" w:rsidP="00643496" w:rsidRDefault="00212A57" w14:paraId="63414A4C" w14:textId="77777777">
            <w:pPr>
              <w:spacing w:after="0" w:line="240" w:lineRule="auto"/>
              <w:jc w:val="both"/>
              <w:rPr>
                <w:rFonts w:cs="Calibri"/>
                <w:sz w:val="20"/>
                <w:szCs w:val="20"/>
                <w:lang w:val="es-CO"/>
              </w:rPr>
            </w:pPr>
            <w:r>
              <w:rPr>
                <w:rFonts w:cs="Calibri"/>
                <w:sz w:val="20"/>
                <w:szCs w:val="20"/>
                <w:lang w:val="es-CO"/>
              </w:rPr>
              <w:t>Hábitat para macroinvertebrados y filtradores</w:t>
            </w:r>
          </w:p>
        </w:tc>
      </w:tr>
      <w:tr w:rsidR="00527B8C" w14:paraId="311BA0D8" w14:textId="77777777">
        <w:trPr>
          <w:trHeight w:val="300"/>
        </w:trPr>
        <w:tc>
          <w:tcPr>
            <w:tcW w:w="1885" w:type="dxa"/>
            <w:vAlign w:val="center"/>
          </w:tcPr>
          <w:p w:rsidR="00527B8C" w:rsidP="00643496" w:rsidRDefault="00212A57" w14:paraId="65215059" w14:textId="77777777">
            <w:pPr>
              <w:spacing w:after="0" w:line="240" w:lineRule="auto"/>
              <w:jc w:val="both"/>
              <w:rPr>
                <w:rFonts w:cs="Calibri"/>
                <w:sz w:val="20"/>
                <w:szCs w:val="20"/>
              </w:rPr>
            </w:pPr>
            <w:r>
              <w:rPr>
                <w:rFonts w:cs="Calibri"/>
                <w:sz w:val="20"/>
                <w:szCs w:val="20"/>
              </w:rPr>
              <w:t>Arcillas</w:t>
            </w:r>
          </w:p>
        </w:tc>
        <w:tc>
          <w:tcPr>
            <w:tcW w:w="3148" w:type="dxa"/>
            <w:vAlign w:val="center"/>
          </w:tcPr>
          <w:p w:rsidR="00527B8C" w:rsidP="00643496" w:rsidRDefault="00212A57" w14:paraId="4A146017" w14:textId="77777777">
            <w:pPr>
              <w:spacing w:after="0" w:line="240" w:lineRule="auto"/>
              <w:jc w:val="both"/>
              <w:rPr>
                <w:rFonts w:cs="Calibri"/>
                <w:sz w:val="20"/>
                <w:szCs w:val="20"/>
                <w:lang w:val="es-CO"/>
              </w:rPr>
            </w:pPr>
            <w:r>
              <w:rPr>
                <w:rFonts w:cs="Calibri"/>
                <w:sz w:val="20"/>
                <w:szCs w:val="20"/>
                <w:lang w:val="es-CO"/>
              </w:rPr>
              <w:t>Cohesión del lecho y orillas</w:t>
            </w:r>
          </w:p>
        </w:tc>
        <w:tc>
          <w:tcPr>
            <w:tcW w:w="3597" w:type="dxa"/>
            <w:vAlign w:val="center"/>
          </w:tcPr>
          <w:p w:rsidR="00527B8C" w:rsidP="00643496" w:rsidRDefault="00212A57" w14:paraId="0AB73291" w14:textId="77777777">
            <w:pPr>
              <w:spacing w:after="0" w:line="240" w:lineRule="auto"/>
              <w:jc w:val="both"/>
              <w:rPr>
                <w:rFonts w:cs="Calibri"/>
                <w:sz w:val="20"/>
                <w:szCs w:val="20"/>
                <w:lang w:val="es-CO"/>
              </w:rPr>
            </w:pPr>
            <w:r>
              <w:rPr>
                <w:rFonts w:cs="Calibri"/>
                <w:sz w:val="20"/>
                <w:szCs w:val="20"/>
                <w:lang w:val="es-CO"/>
              </w:rPr>
              <w:t>Retención de nutrientes, soporte para plantas acuáticas</w:t>
            </w:r>
          </w:p>
        </w:tc>
      </w:tr>
    </w:tbl>
    <w:p w:rsidR="00527B8C" w:rsidRDefault="00527B8C" w14:paraId="0BF652D7" w14:textId="77777777">
      <w:pPr>
        <w:spacing w:after="0" w:line="360" w:lineRule="auto"/>
        <w:jc w:val="both"/>
        <w:rPr>
          <w:rFonts w:cs="Calibri"/>
          <w:sz w:val="24"/>
          <w:szCs w:val="24"/>
          <w:lang w:val="es-CO"/>
        </w:rPr>
      </w:pPr>
    </w:p>
    <w:p w:rsidR="00527B8C" w:rsidRDefault="00527B8C" w14:paraId="03D4C9D1" w14:textId="77777777">
      <w:pPr>
        <w:spacing w:after="0" w:line="360" w:lineRule="auto"/>
        <w:jc w:val="both"/>
        <w:rPr>
          <w:rFonts w:cs="Calibri"/>
          <w:sz w:val="24"/>
          <w:szCs w:val="24"/>
          <w:lang w:val="es-CO"/>
        </w:rPr>
      </w:pPr>
    </w:p>
    <w:p w:rsidR="00527B8C" w:rsidP="53DEF7DD" w:rsidRDefault="00212A57" w14:paraId="154F03E3" w14:textId="77777777">
      <w:pPr>
        <w:spacing w:after="0" w:line="360" w:lineRule="auto"/>
        <w:jc w:val="both"/>
        <w:rPr>
          <w:rStyle w:val="Ttulo4Car"/>
          <w:i w:val="0"/>
          <w:iCs w:val="0"/>
          <w:sz w:val="24"/>
          <w:szCs w:val="24"/>
          <w:lang w:val="es-CO"/>
        </w:rPr>
      </w:pPr>
      <w:bookmarkStart w:name="_Toc458289630" w:id="1621076722"/>
      <w:r w:rsidRPr="53DEF7DD" w:rsidR="670101B5">
        <w:rPr>
          <w:rStyle w:val="Ttulo4Car"/>
          <w:i w:val="0"/>
          <w:iCs w:val="0"/>
          <w:sz w:val="24"/>
          <w:szCs w:val="24"/>
          <w:lang w:val="es-CO"/>
        </w:rPr>
        <w:t>5.1.1.5. Ciclo de nutrientes</w:t>
      </w:r>
      <w:bookmarkEnd w:id="1621076722"/>
    </w:p>
    <w:p w:rsidR="00643496" w:rsidRDefault="00643496" w14:paraId="646E6462" w14:textId="77777777">
      <w:pPr>
        <w:spacing w:after="0" w:line="360" w:lineRule="auto"/>
        <w:ind w:firstLine="302" w:firstLineChars="126"/>
        <w:jc w:val="both"/>
        <w:rPr>
          <w:rFonts w:cs="Calibri"/>
          <w:sz w:val="24"/>
          <w:szCs w:val="24"/>
          <w:lang w:val="es-CO"/>
        </w:rPr>
      </w:pPr>
    </w:p>
    <w:p w:rsidR="00527B8C" w:rsidRDefault="00212A57" w14:paraId="1354CE58" w14:textId="1DC9DEA0">
      <w:pPr>
        <w:spacing w:after="0" w:line="360" w:lineRule="auto"/>
        <w:ind w:firstLine="302" w:firstLineChars="126"/>
        <w:jc w:val="both"/>
        <w:rPr>
          <w:rFonts w:cs="Calibri"/>
          <w:sz w:val="24"/>
          <w:szCs w:val="24"/>
          <w:lang w:val="es-CO"/>
        </w:rPr>
      </w:pPr>
      <w:r>
        <w:rPr>
          <w:rFonts w:cs="Calibri"/>
          <w:sz w:val="24"/>
          <w:szCs w:val="24"/>
          <w:lang w:val="es-CO"/>
        </w:rPr>
        <w:t>El lecho amazónico actúa como un filtro natural que regula la calidad del agua mediante procesos físicos y biogeoquímicos. Las gravas y arenas permiten la infiltración y la oxigenación del agua, creando microhábitats para peces bentónicos y macroinvertebrados. Las arcillas, por su alta capacidad de intercambio catiónico, retienen nutrientes como calcio, magnesio y potasio, esenciales para la productividad primaria. Además, el lecho almacena carbono orgánico en forma de materia orgánica atrapada entre partíc</w:t>
      </w:r>
      <w:r>
        <w:rPr>
          <w:rFonts w:cs="Calibri"/>
          <w:sz w:val="24"/>
          <w:szCs w:val="24"/>
          <w:lang w:val="es-CO"/>
        </w:rPr>
        <w:t>ulas, contribuyendo a la mitigación del cambio climático y al mantenimiento de la fertilidad del ecosistema acuático.</w:t>
      </w:r>
    </w:p>
    <w:p w:rsidR="00527B8C" w:rsidRDefault="00527B8C" w14:paraId="377CC642" w14:textId="77777777">
      <w:pPr>
        <w:spacing w:after="0" w:line="360" w:lineRule="auto"/>
        <w:ind w:firstLine="302" w:firstLineChars="126"/>
        <w:jc w:val="both"/>
        <w:rPr>
          <w:rFonts w:cs="Calibri"/>
          <w:sz w:val="24"/>
          <w:szCs w:val="24"/>
          <w:lang w:val="es-CO"/>
        </w:rPr>
      </w:pPr>
    </w:p>
    <w:p w:rsidRPr="00643496" w:rsidR="00527B8C" w:rsidP="00643496" w:rsidRDefault="00212A57" w14:paraId="3AC20CB0" w14:textId="7A0DEFA5">
      <w:pPr>
        <w:spacing w:after="0" w:line="360" w:lineRule="auto"/>
        <w:ind w:firstLine="302" w:firstLineChars="126"/>
        <w:jc w:val="both"/>
        <w:rPr>
          <w:rFonts w:cs="Calibri"/>
          <w:sz w:val="24"/>
          <w:szCs w:val="24"/>
          <w:lang w:val="es-CO"/>
        </w:rPr>
      </w:pPr>
      <w:r>
        <w:rPr>
          <w:rFonts w:cs="Calibri"/>
          <w:sz w:val="24"/>
          <w:szCs w:val="24"/>
          <w:lang w:val="es-CO"/>
        </w:rPr>
        <w:t>En la Amazonía, estos procesos sostienen una red ecológica compleja: los sedimentos regulan la dinámica hidrológica, amortiguan la energía del flujo y reducen la erosión, manteniendo la estabilidad de las orillas y la conectividad entre ríos y humedales. Esto es clave para la reproducción de peces migratorios y la disponibilidad de hábitats temporales.</w:t>
      </w:r>
    </w:p>
    <w:p w:rsidR="00527B8C" w:rsidRDefault="00527B8C" w14:paraId="20746EDE" w14:textId="77777777">
      <w:pPr>
        <w:pStyle w:val="Ttulo2"/>
        <w:spacing w:line="360" w:lineRule="auto"/>
        <w:jc w:val="both"/>
        <w:rPr>
          <w:sz w:val="24"/>
          <w:szCs w:val="24"/>
          <w:lang w:val="es-CO"/>
        </w:rPr>
      </w:pPr>
    </w:p>
    <w:p w:rsidR="00643496" w:rsidP="00643496" w:rsidRDefault="00643496" w14:paraId="76B1C469" w14:textId="3D516B2E">
      <w:pPr>
        <w:pStyle w:val="Descripcin"/>
        <w:jc w:val="center"/>
        <w:rPr>
          <w:noProof/>
        </w:rPr>
      </w:pPr>
      <w:bookmarkStart w:name="_Toc216514447" w:id="75"/>
      <w:r w:rsidRPr="00643496">
        <w:rPr>
          <w:sz w:val="20"/>
          <w:szCs w:val="20"/>
        </w:rPr>
        <w:t xml:space="preserve">Gráfico </w:t>
      </w:r>
      <w:r w:rsidRPr="00643496">
        <w:rPr>
          <w:sz w:val="20"/>
          <w:szCs w:val="20"/>
        </w:rPr>
        <w:fldChar w:fldCharType="begin"/>
      </w:r>
      <w:r w:rsidRPr="00643496">
        <w:rPr>
          <w:sz w:val="20"/>
          <w:szCs w:val="20"/>
        </w:rPr>
        <w:instrText xml:space="preserve"> SEQ Gráfico \* ARABIC </w:instrText>
      </w:r>
      <w:r w:rsidRPr="00643496">
        <w:rPr>
          <w:sz w:val="20"/>
          <w:szCs w:val="20"/>
        </w:rPr>
        <w:fldChar w:fldCharType="separate"/>
      </w:r>
      <w:r w:rsidR="00EE79CE">
        <w:rPr>
          <w:noProof/>
          <w:sz w:val="20"/>
          <w:szCs w:val="20"/>
        </w:rPr>
        <w:t>3</w:t>
      </w:r>
      <w:r w:rsidRPr="00643496">
        <w:rPr>
          <w:sz w:val="20"/>
          <w:szCs w:val="20"/>
        </w:rPr>
        <w:fldChar w:fldCharType="end"/>
      </w:r>
      <w:r w:rsidRPr="00643496">
        <w:rPr>
          <w:sz w:val="20"/>
          <w:szCs w:val="20"/>
        </w:rPr>
        <w:t xml:space="preserve"> Mapa conceptual de conectividad fluvial amazónica</w:t>
      </w:r>
      <w:r w:rsidRPr="00723391">
        <w:t>.</w:t>
      </w:r>
      <w:bookmarkEnd w:id="75"/>
    </w:p>
    <w:p w:rsidR="00527B8C" w:rsidP="00643496" w:rsidRDefault="00212A57" w14:paraId="54C41ECA" w14:textId="79F9940E">
      <w:pPr>
        <w:pStyle w:val="Descripcin"/>
        <w:jc w:val="center"/>
        <w:rPr>
          <w:rFonts w:cs="Calibri"/>
          <w:sz w:val="24"/>
          <w:szCs w:val="24"/>
        </w:rPr>
      </w:pPr>
      <w:r>
        <w:rPr>
          <w:noProof/>
        </w:rPr>
        <w:drawing>
          <wp:inline distT="0" distB="0" distL="0" distR="0" wp14:anchorId="252E4277" wp14:editId="66FFAF6B">
            <wp:extent cx="3952875" cy="2529840"/>
            <wp:effectExtent l="0" t="0" r="9525" b="3810"/>
            <wp:docPr id="13172744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274451" name="Picture 1"/>
                    <pic:cNvPicPr>
                      <a:picLocks noChangeAspect="1"/>
                    </pic:cNvPicPr>
                  </pic:nvPicPr>
                  <pic:blipFill rotWithShape="1">
                    <a:blip r:embed="rId24"/>
                    <a:srcRect l="12122" t="10910" r="9280" b="13635"/>
                    <a:stretch/>
                  </pic:blipFill>
                  <pic:spPr bwMode="auto">
                    <a:xfrm>
                      <a:off x="0" y="0"/>
                      <a:ext cx="3952875" cy="2529840"/>
                    </a:xfrm>
                    <a:prstGeom prst="rect">
                      <a:avLst/>
                    </a:prstGeom>
                    <a:ln>
                      <a:noFill/>
                    </a:ln>
                    <a:extLst>
                      <a:ext uri="{53640926-AAD7-44D8-BBD7-CCE9431645EC}">
                        <a14:shadowObscured xmlns:a14="http://schemas.microsoft.com/office/drawing/2010/main"/>
                      </a:ext>
                    </a:extLst>
                  </pic:spPr>
                </pic:pic>
              </a:graphicData>
            </a:graphic>
          </wp:inline>
        </w:drawing>
      </w:r>
    </w:p>
    <w:p w:rsidRPr="00643496" w:rsidR="00527B8C" w:rsidP="00643496" w:rsidRDefault="00212A57" w14:paraId="02DE139D" w14:textId="2ECE29B3">
      <w:pPr>
        <w:spacing w:after="0" w:line="360" w:lineRule="auto"/>
        <w:jc w:val="center"/>
        <w:rPr>
          <w:rFonts w:cs="Calibri"/>
          <w:i/>
          <w:iCs/>
          <w:sz w:val="20"/>
          <w:szCs w:val="20"/>
          <w:lang w:val="es-CO"/>
        </w:rPr>
      </w:pPr>
      <w:r w:rsidRPr="00643496">
        <w:rPr>
          <w:rFonts w:cs="Calibri"/>
          <w:i/>
          <w:iCs/>
          <w:sz w:val="20"/>
          <w:szCs w:val="20"/>
        </w:rPr>
        <w:t>Fuente:</w:t>
      </w:r>
      <w:r w:rsidR="00643496">
        <w:rPr>
          <w:rFonts w:cs="Calibri"/>
          <w:i/>
          <w:iCs/>
          <w:sz w:val="20"/>
          <w:szCs w:val="20"/>
        </w:rPr>
        <w:t xml:space="preserve"> Elaboración propia </w:t>
      </w:r>
      <w:r w:rsidRPr="00643496">
        <w:rPr>
          <w:rFonts w:cs="Calibri"/>
          <w:i/>
          <w:iCs/>
          <w:sz w:val="20"/>
          <w:szCs w:val="20"/>
          <w:lang w:val="es-CO"/>
        </w:rPr>
        <w:t>Sala de Monitoreo.</w:t>
      </w:r>
    </w:p>
    <w:p w:rsidR="00643496" w:rsidP="00643496" w:rsidRDefault="00643496" w14:paraId="39377972" w14:textId="77777777">
      <w:pPr>
        <w:pStyle w:val="Descripcin"/>
        <w:jc w:val="center"/>
        <w:rPr>
          <w:sz w:val="20"/>
          <w:szCs w:val="20"/>
        </w:rPr>
      </w:pPr>
    </w:p>
    <w:p w:rsidRPr="00643496" w:rsidR="00527B8C" w:rsidP="00643496" w:rsidRDefault="00643496" w14:paraId="1CA3148D" w14:textId="1B4F6F51">
      <w:pPr>
        <w:pStyle w:val="Descripcin"/>
        <w:spacing w:after="384" w:afterLines="160"/>
        <w:jc w:val="center"/>
        <w:rPr>
          <w:rFonts w:cs="Calibri"/>
          <w:sz w:val="20"/>
          <w:szCs w:val="20"/>
          <w:lang w:val="es-CO"/>
        </w:rPr>
      </w:pPr>
      <w:bookmarkStart w:name="_Toc216514448" w:id="76"/>
      <w:r w:rsidRPr="00643496">
        <w:rPr>
          <w:sz w:val="20"/>
          <w:szCs w:val="20"/>
        </w:rPr>
        <w:t xml:space="preserve">Gráfico </w:t>
      </w:r>
      <w:r w:rsidRPr="00643496">
        <w:rPr>
          <w:sz w:val="20"/>
          <w:szCs w:val="20"/>
        </w:rPr>
        <w:fldChar w:fldCharType="begin"/>
      </w:r>
      <w:r w:rsidRPr="00643496">
        <w:rPr>
          <w:sz w:val="20"/>
          <w:szCs w:val="20"/>
        </w:rPr>
        <w:instrText xml:space="preserve"> SEQ Gráfico \* ARABIC </w:instrText>
      </w:r>
      <w:r w:rsidRPr="00643496">
        <w:rPr>
          <w:sz w:val="20"/>
          <w:szCs w:val="20"/>
        </w:rPr>
        <w:fldChar w:fldCharType="separate"/>
      </w:r>
      <w:r w:rsidR="00EE79CE">
        <w:rPr>
          <w:noProof/>
          <w:sz w:val="20"/>
          <w:szCs w:val="20"/>
        </w:rPr>
        <w:t>4</w:t>
      </w:r>
      <w:r w:rsidRPr="00643496">
        <w:rPr>
          <w:sz w:val="20"/>
          <w:szCs w:val="20"/>
        </w:rPr>
        <w:fldChar w:fldCharType="end"/>
      </w:r>
      <w:r w:rsidRPr="00643496">
        <w:rPr>
          <w:sz w:val="20"/>
          <w:szCs w:val="20"/>
        </w:rPr>
        <w:t xml:space="preserve"> ciclo de nutrientes en el lecho amazónico.</w:t>
      </w:r>
      <w:bookmarkEnd w:id="76"/>
    </w:p>
    <w:p w:rsidR="00527B8C" w:rsidP="00643496" w:rsidRDefault="00212A57" w14:paraId="4BCF1BA6" w14:textId="27D9B0C8">
      <w:pPr>
        <w:spacing w:after="0" w:line="360" w:lineRule="auto"/>
        <w:jc w:val="center"/>
        <w:rPr>
          <w:rFonts w:cs="Calibri"/>
          <w:sz w:val="24"/>
          <w:szCs w:val="24"/>
        </w:rPr>
      </w:pPr>
      <w:r>
        <w:rPr>
          <w:noProof/>
        </w:rPr>
        <w:drawing>
          <wp:inline distT="0" distB="0" distL="0" distR="0" wp14:anchorId="1521B86B" wp14:editId="7CCEE2A4">
            <wp:extent cx="4362450" cy="1960885"/>
            <wp:effectExtent l="0" t="0" r="0" b="1270"/>
            <wp:docPr id="6978975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897521" name="Picture 2"/>
                    <pic:cNvPicPr>
                      <a:picLocks noChangeAspect="1"/>
                    </pic:cNvPicPr>
                  </pic:nvPicPr>
                  <pic:blipFill rotWithShape="1">
                    <a:blip r:embed="rId25"/>
                    <a:srcRect l="6061" t="11966" r="1326" b="29546"/>
                    <a:stretch/>
                  </pic:blipFill>
                  <pic:spPr bwMode="auto">
                    <a:xfrm>
                      <a:off x="0" y="0"/>
                      <a:ext cx="4364294" cy="1961714"/>
                    </a:xfrm>
                    <a:prstGeom prst="rect">
                      <a:avLst/>
                    </a:prstGeom>
                    <a:ln>
                      <a:noFill/>
                    </a:ln>
                    <a:extLst>
                      <a:ext uri="{53640926-AAD7-44D8-BBD7-CCE9431645EC}">
                        <a14:shadowObscured xmlns:a14="http://schemas.microsoft.com/office/drawing/2010/main"/>
                      </a:ext>
                    </a:extLst>
                  </pic:spPr>
                </pic:pic>
              </a:graphicData>
            </a:graphic>
          </wp:inline>
        </w:drawing>
      </w:r>
    </w:p>
    <w:p w:rsidR="00527B8C" w:rsidP="00643496" w:rsidRDefault="00643496" w14:paraId="219DD13F" w14:textId="568286D7">
      <w:pPr>
        <w:spacing w:after="0" w:line="360" w:lineRule="auto"/>
        <w:jc w:val="center"/>
        <w:rPr>
          <w:rFonts w:cs="Calibri"/>
          <w:sz w:val="24"/>
          <w:szCs w:val="24"/>
          <w:lang w:val="es-CO"/>
        </w:rPr>
      </w:pPr>
      <w:r w:rsidRPr="00643496">
        <w:rPr>
          <w:rFonts w:cs="Calibri"/>
          <w:i/>
          <w:iCs/>
          <w:sz w:val="20"/>
          <w:szCs w:val="20"/>
        </w:rPr>
        <w:t>Fuente:</w:t>
      </w:r>
      <w:r>
        <w:rPr>
          <w:rFonts w:cs="Calibri"/>
          <w:i/>
          <w:iCs/>
          <w:sz w:val="20"/>
          <w:szCs w:val="20"/>
        </w:rPr>
        <w:t xml:space="preserve"> Elaboración propia </w:t>
      </w:r>
      <w:r w:rsidRPr="00643496">
        <w:rPr>
          <w:rFonts w:cs="Calibri"/>
          <w:i/>
          <w:iCs/>
          <w:sz w:val="20"/>
          <w:szCs w:val="20"/>
          <w:lang w:val="es-CO"/>
        </w:rPr>
        <w:t>Sala de Monitoreo</w:t>
      </w:r>
    </w:p>
    <w:p w:rsidR="00643496" w:rsidRDefault="00643496" w14:paraId="6E79B8D8" w14:textId="77777777">
      <w:pPr>
        <w:spacing w:after="0" w:line="360" w:lineRule="auto"/>
        <w:jc w:val="both"/>
        <w:rPr>
          <w:rStyle w:val="Ttulo4Car"/>
          <w:i w:val="0"/>
          <w:iCs w:val="0"/>
          <w:sz w:val="24"/>
          <w:szCs w:val="24"/>
          <w:lang w:val="es-CO"/>
        </w:rPr>
      </w:pPr>
    </w:p>
    <w:p w:rsidR="00527B8C" w:rsidP="53DEF7DD" w:rsidRDefault="00212A57" w14:paraId="3E7126B8" w14:textId="687BBFCB">
      <w:pPr>
        <w:spacing w:after="0" w:line="360" w:lineRule="auto"/>
        <w:jc w:val="both"/>
        <w:rPr>
          <w:rStyle w:val="Ttulo4Car"/>
          <w:i w:val="0"/>
          <w:iCs w:val="0"/>
          <w:sz w:val="24"/>
          <w:szCs w:val="24"/>
          <w:lang w:val="es-CO"/>
        </w:rPr>
      </w:pPr>
      <w:bookmarkStart w:name="_Toc1340913000" w:id="724194825"/>
      <w:r w:rsidRPr="53DEF7DD" w:rsidR="670101B5">
        <w:rPr>
          <w:rStyle w:val="Ttulo4Car"/>
          <w:i w:val="0"/>
          <w:iCs w:val="0"/>
          <w:sz w:val="24"/>
          <w:szCs w:val="24"/>
          <w:lang w:val="es-CO"/>
        </w:rPr>
        <w:t>5.1.1.6. Conectividad fluvial</w:t>
      </w:r>
      <w:bookmarkEnd w:id="724194825"/>
    </w:p>
    <w:p w:rsidR="00643496" w:rsidRDefault="00643496" w14:paraId="146A6B00" w14:textId="77777777">
      <w:pPr>
        <w:spacing w:after="0" w:line="360" w:lineRule="auto"/>
        <w:ind w:firstLine="302" w:firstLineChars="126"/>
        <w:jc w:val="both"/>
        <w:rPr>
          <w:rFonts w:cs="Calibri"/>
          <w:sz w:val="24"/>
          <w:szCs w:val="24"/>
          <w:lang w:val="es-CO"/>
        </w:rPr>
      </w:pPr>
    </w:p>
    <w:p w:rsidR="00527B8C" w:rsidRDefault="00212A57" w14:paraId="15E7299A" w14:textId="4EB5181A">
      <w:pPr>
        <w:spacing w:after="0" w:line="360" w:lineRule="auto"/>
        <w:ind w:firstLine="302" w:firstLineChars="126"/>
        <w:jc w:val="both"/>
        <w:rPr>
          <w:rFonts w:cs="Calibri"/>
          <w:sz w:val="24"/>
          <w:szCs w:val="24"/>
          <w:lang w:val="es-CO"/>
        </w:rPr>
      </w:pPr>
      <w:r>
        <w:rPr>
          <w:rFonts w:cs="Calibri"/>
          <w:sz w:val="24"/>
          <w:szCs w:val="24"/>
          <w:lang w:val="es-CO"/>
        </w:rPr>
        <w:t xml:space="preserve">La dinámica sedimentaria mantiene la continuidad entre cabeceras andinas y llanuras amazónicas, sosteniendo la biodiversidad. </w:t>
      </w:r>
    </w:p>
    <w:p w:rsidR="00527B8C" w:rsidRDefault="00527B8C" w14:paraId="6033BABB" w14:textId="77777777">
      <w:pPr>
        <w:spacing w:after="0" w:line="360" w:lineRule="auto"/>
        <w:ind w:firstLine="302" w:firstLineChars="126"/>
        <w:jc w:val="both"/>
        <w:rPr>
          <w:rFonts w:cs="Calibri"/>
          <w:sz w:val="24"/>
          <w:szCs w:val="24"/>
          <w:lang w:val="es-CO"/>
        </w:rPr>
      </w:pPr>
    </w:p>
    <w:p w:rsidR="00527B8C" w:rsidRDefault="00212A57" w14:paraId="3B8F8435" w14:textId="77777777">
      <w:pPr>
        <w:spacing w:after="0" w:line="360" w:lineRule="auto"/>
        <w:ind w:firstLine="302" w:firstLineChars="126"/>
        <w:jc w:val="both"/>
        <w:rPr>
          <w:rFonts w:cs="Calibri"/>
          <w:sz w:val="24"/>
          <w:szCs w:val="24"/>
          <w:lang w:val="es-CO"/>
        </w:rPr>
      </w:pPr>
      <w:r>
        <w:rPr>
          <w:rFonts w:cs="Calibri"/>
          <w:sz w:val="24"/>
          <w:szCs w:val="24"/>
          <w:lang w:val="es-CO"/>
        </w:rPr>
        <w:t>La conectividad fluvial en la Amazonía es un proceso clave que asegura la transferencia de agua, sedimentos y nutrientes desde las zonas altas andinas hacia las llanuras amazónicas. La dinámica sedimentaria regula la formación de hábitats acuáticos, bancos de arena y humedales, que son esenciales para la reproducción de peces migratorios y la supervivencia de especies endémicas. Este flujo continuo de sedimentos contribuye a la fertilidad del suelo, la productividad primaria y la estabilidad geomorfológica,</w:t>
      </w:r>
      <w:r>
        <w:rPr>
          <w:rFonts w:cs="Calibri"/>
          <w:sz w:val="24"/>
          <w:szCs w:val="24"/>
          <w:lang w:val="es-CO"/>
        </w:rPr>
        <w:t xml:space="preserve"> creando condiciones óptimas para la biodiversidad acuática y terrestre.</w:t>
      </w:r>
    </w:p>
    <w:p w:rsidR="00643496" w:rsidP="00643496" w:rsidRDefault="00643496" w14:paraId="118B2187" w14:textId="77777777">
      <w:pPr>
        <w:pStyle w:val="Descripcin"/>
      </w:pPr>
    </w:p>
    <w:p w:rsidRPr="00643496" w:rsidR="00527B8C" w:rsidP="00643496" w:rsidRDefault="00643496" w14:paraId="3314AA95" w14:textId="626EE47A">
      <w:pPr>
        <w:pStyle w:val="Descripcin"/>
        <w:jc w:val="center"/>
        <w:rPr>
          <w:sz w:val="20"/>
          <w:szCs w:val="20"/>
          <w:lang w:val="es-CO"/>
        </w:rPr>
      </w:pPr>
      <w:bookmarkStart w:name="_Toc216514449" w:id="78"/>
      <w:r w:rsidRPr="00643496">
        <w:rPr>
          <w:sz w:val="20"/>
          <w:szCs w:val="20"/>
        </w:rPr>
        <w:t xml:space="preserve">Gráfico </w:t>
      </w:r>
      <w:r w:rsidRPr="00643496">
        <w:rPr>
          <w:sz w:val="20"/>
          <w:szCs w:val="20"/>
        </w:rPr>
        <w:fldChar w:fldCharType="begin"/>
      </w:r>
      <w:r w:rsidRPr="00643496">
        <w:rPr>
          <w:sz w:val="20"/>
          <w:szCs w:val="20"/>
        </w:rPr>
        <w:instrText xml:space="preserve"> SEQ Gráfico \* ARABIC </w:instrText>
      </w:r>
      <w:r w:rsidRPr="00643496">
        <w:rPr>
          <w:sz w:val="20"/>
          <w:szCs w:val="20"/>
        </w:rPr>
        <w:fldChar w:fldCharType="separate"/>
      </w:r>
      <w:r w:rsidR="00EE79CE">
        <w:rPr>
          <w:noProof/>
          <w:sz w:val="20"/>
          <w:szCs w:val="20"/>
        </w:rPr>
        <w:t>5</w:t>
      </w:r>
      <w:r w:rsidRPr="00643496">
        <w:rPr>
          <w:sz w:val="20"/>
          <w:szCs w:val="20"/>
        </w:rPr>
        <w:fldChar w:fldCharType="end"/>
      </w:r>
      <w:r w:rsidRPr="00643496">
        <w:rPr>
          <w:sz w:val="20"/>
          <w:szCs w:val="20"/>
        </w:rPr>
        <w:t xml:space="preserve"> Perfil de transporte sedimentario desde los Andes hacia la Amazonía.</w:t>
      </w:r>
      <w:bookmarkEnd w:id="78"/>
    </w:p>
    <w:p w:rsidR="00527B8C" w:rsidP="00643496" w:rsidRDefault="00212A57" w14:paraId="3AE0D33B" w14:textId="77777777">
      <w:pPr>
        <w:spacing w:after="0" w:line="360" w:lineRule="auto"/>
        <w:jc w:val="center"/>
        <w:rPr>
          <w:rFonts w:cs="Calibri"/>
          <w:sz w:val="24"/>
          <w:szCs w:val="24"/>
        </w:rPr>
      </w:pPr>
      <w:r>
        <w:rPr>
          <w:noProof/>
        </w:rPr>
        <w:drawing>
          <wp:inline distT="0" distB="0" distL="0" distR="0" wp14:anchorId="7DE91ECF" wp14:editId="734FEC99">
            <wp:extent cx="4865370" cy="3243580"/>
            <wp:effectExtent l="0" t="0" r="11430" b="13970"/>
            <wp:docPr id="679806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806878" name="Picture 2"/>
                    <pic:cNvPicPr>
                      <a:picLocks noChangeAspect="1"/>
                    </pic:cNvPicPr>
                  </pic:nvPicPr>
                  <pic:blipFill>
                    <a:blip r:embed="rId26"/>
                    <a:stretch>
                      <a:fillRect/>
                    </a:stretch>
                  </pic:blipFill>
                  <pic:spPr>
                    <a:xfrm>
                      <a:off x="0" y="0"/>
                      <a:ext cx="4865370" cy="3243580"/>
                    </a:xfrm>
                    <a:prstGeom prst="rect">
                      <a:avLst/>
                    </a:prstGeom>
                  </pic:spPr>
                </pic:pic>
              </a:graphicData>
            </a:graphic>
          </wp:inline>
        </w:drawing>
      </w:r>
    </w:p>
    <w:p w:rsidR="00643496" w:rsidP="00643496" w:rsidRDefault="00643496" w14:paraId="4C9CD006" w14:textId="77777777">
      <w:pPr>
        <w:spacing w:after="0" w:line="360" w:lineRule="auto"/>
        <w:jc w:val="center"/>
        <w:rPr>
          <w:rFonts w:cs="Calibri"/>
          <w:sz w:val="24"/>
          <w:szCs w:val="24"/>
          <w:lang w:val="es-CO"/>
        </w:rPr>
      </w:pPr>
      <w:r w:rsidRPr="00643496">
        <w:rPr>
          <w:rFonts w:cs="Calibri"/>
          <w:i/>
          <w:iCs/>
          <w:sz w:val="20"/>
          <w:szCs w:val="20"/>
        </w:rPr>
        <w:t>Fuente:</w:t>
      </w:r>
      <w:r>
        <w:rPr>
          <w:rFonts w:cs="Calibri"/>
          <w:i/>
          <w:iCs/>
          <w:sz w:val="20"/>
          <w:szCs w:val="20"/>
        </w:rPr>
        <w:t xml:space="preserve"> Elaboración propia </w:t>
      </w:r>
      <w:r w:rsidRPr="00643496">
        <w:rPr>
          <w:rFonts w:cs="Calibri"/>
          <w:i/>
          <w:iCs/>
          <w:sz w:val="20"/>
          <w:szCs w:val="20"/>
          <w:lang w:val="es-CO"/>
        </w:rPr>
        <w:t>Sala de Monitoreo</w:t>
      </w:r>
    </w:p>
    <w:p w:rsidR="00527B8C" w:rsidRDefault="00527B8C" w14:paraId="4A427CF7" w14:textId="77777777">
      <w:pPr>
        <w:spacing w:after="0" w:line="360" w:lineRule="auto"/>
        <w:jc w:val="both"/>
        <w:rPr>
          <w:rFonts w:cs="Calibri"/>
          <w:sz w:val="24"/>
          <w:szCs w:val="24"/>
          <w:lang w:val="es-CO"/>
        </w:rPr>
      </w:pPr>
    </w:p>
    <w:p w:rsidR="00527B8C" w:rsidRDefault="00212A57" w14:paraId="73C0FCC0" w14:textId="77777777">
      <w:pPr>
        <w:pStyle w:val="Ttulo1"/>
        <w:keepNext w:val="0"/>
        <w:keepLines w:val="0"/>
        <w:spacing w:before="0" w:line="360" w:lineRule="auto"/>
        <w:jc w:val="both"/>
        <w:rPr>
          <w:rFonts w:ascii="Calibri" w:hAnsi="Calibri" w:eastAsia="Calibri" w:cs="Calibri"/>
          <w:sz w:val="24"/>
          <w:szCs w:val="24"/>
          <w:lang w:val="es-CO"/>
        </w:rPr>
      </w:pPr>
      <w:bookmarkStart w:name="_Toc1780241437" w:id="1321154079"/>
      <w:r w:rsidRPr="53DEF7DD" w:rsidR="670101B5">
        <w:rPr>
          <w:rFonts w:ascii="Calibri" w:hAnsi="Calibri" w:eastAsia="Calibri" w:cs="Calibri"/>
          <w:sz w:val="24"/>
          <w:szCs w:val="24"/>
          <w:lang w:val="es-CO"/>
        </w:rPr>
        <w:t>5.2. Marco Normativo Ambiental Aplicable a la Minería de Materiales de Construcción (MMC) en la Amazonía Colombiana</w:t>
      </w:r>
      <w:bookmarkEnd w:id="1321154079"/>
    </w:p>
    <w:p w:rsidR="00527B8C" w:rsidRDefault="00527B8C" w14:paraId="4DAD369A" w14:textId="77777777">
      <w:pPr>
        <w:rPr>
          <w:lang w:val="es-CO"/>
        </w:rPr>
      </w:pPr>
    </w:p>
    <w:p w:rsidR="00527B8C" w:rsidRDefault="00212A57" w14:paraId="09149EAC" w14:textId="77777777">
      <w:pPr>
        <w:spacing w:line="360" w:lineRule="auto"/>
        <w:ind w:firstLine="302" w:firstLineChars="126"/>
        <w:jc w:val="both"/>
        <w:rPr>
          <w:rFonts w:cs="Calibri"/>
          <w:sz w:val="24"/>
          <w:szCs w:val="24"/>
        </w:rPr>
      </w:pPr>
      <w:r>
        <w:rPr>
          <w:rFonts w:cs="Calibri"/>
          <w:sz w:val="24"/>
          <w:szCs w:val="24"/>
        </w:rPr>
        <w:t>El marco legal de la MMC en la Amazonía se rige por un marco normativo que impone restricciones operacionales y territoriales significativas, especialmente para la extracción de materiales de arrastre en fuentes hídricas y ecosistemas forestales ue busca regular el aprovechamiento y proteger el ambiente.</w:t>
      </w:r>
    </w:p>
    <w:p w:rsidR="00527B8C" w:rsidRDefault="00527B8C" w14:paraId="7717CF19" w14:textId="77777777">
      <w:pPr>
        <w:pStyle w:val="Ttulo2"/>
        <w:spacing w:line="360" w:lineRule="auto"/>
        <w:jc w:val="both"/>
        <w:rPr>
          <w:rFonts w:cs="Calibri"/>
          <w:sz w:val="24"/>
          <w:szCs w:val="24"/>
        </w:rPr>
      </w:pPr>
    </w:p>
    <w:p w:rsidRPr="00643496" w:rsidR="00527B8C" w:rsidP="00643496" w:rsidRDefault="00643496" w14:paraId="6770EF23" w14:textId="6E5A1CCF">
      <w:pPr>
        <w:pStyle w:val="Descripcin"/>
        <w:spacing w:after="160"/>
        <w:jc w:val="center"/>
        <w:rPr>
          <w:rFonts w:cs="Calibri"/>
          <w:sz w:val="20"/>
          <w:szCs w:val="20"/>
        </w:rPr>
      </w:pPr>
      <w:bookmarkStart w:name="_Toc216558757" w:id="80"/>
      <w:r w:rsidRPr="00643496">
        <w:rPr>
          <w:sz w:val="20"/>
          <w:szCs w:val="20"/>
        </w:rPr>
        <w:t xml:space="preserve">Tabla </w:t>
      </w:r>
      <w:r w:rsidRPr="00643496">
        <w:rPr>
          <w:sz w:val="20"/>
          <w:szCs w:val="20"/>
        </w:rPr>
        <w:fldChar w:fldCharType="begin"/>
      </w:r>
      <w:r w:rsidRPr="00643496">
        <w:rPr>
          <w:sz w:val="20"/>
          <w:szCs w:val="20"/>
        </w:rPr>
        <w:instrText xml:space="preserve"> SEQ Tabla \* ARABIC </w:instrText>
      </w:r>
      <w:r w:rsidRPr="00643496">
        <w:rPr>
          <w:sz w:val="20"/>
          <w:szCs w:val="20"/>
        </w:rPr>
        <w:fldChar w:fldCharType="separate"/>
      </w:r>
      <w:r w:rsidR="00EE79CE">
        <w:rPr>
          <w:noProof/>
          <w:sz w:val="20"/>
          <w:szCs w:val="20"/>
        </w:rPr>
        <w:t>13</w:t>
      </w:r>
      <w:r w:rsidRPr="00643496">
        <w:rPr>
          <w:sz w:val="20"/>
          <w:szCs w:val="20"/>
        </w:rPr>
        <w:fldChar w:fldCharType="end"/>
      </w:r>
      <w:r w:rsidRPr="00643496">
        <w:rPr>
          <w:sz w:val="20"/>
          <w:szCs w:val="20"/>
        </w:rPr>
        <w:t xml:space="preserve"> Marco Normativo Ambiental Aplicable a (MMC) en la Amazonía Colombiana.</w:t>
      </w:r>
      <w:bookmarkEnd w:id="80"/>
    </w:p>
    <w:tbl>
      <w:tblPr>
        <w:tblStyle w:val="Tablaconcuadrcula"/>
        <w:tblW w:w="8630" w:type="dxa"/>
        <w:jc w:val="center"/>
        <w:tblLook w:val="04A0" w:firstRow="1" w:lastRow="0" w:firstColumn="1" w:lastColumn="0" w:noHBand="0" w:noVBand="1"/>
      </w:tblPr>
      <w:tblGrid>
        <w:gridCol w:w="1819"/>
        <w:gridCol w:w="1259"/>
        <w:gridCol w:w="5552"/>
      </w:tblGrid>
      <w:tr w:rsidR="00527B8C" w:rsidTr="00643496" w14:paraId="6F51BBE2" w14:textId="77777777">
        <w:trPr>
          <w:trHeight w:val="465"/>
          <w:jc w:val="center"/>
        </w:trPr>
        <w:tc>
          <w:tcPr>
            <w:tcW w:w="1819" w:type="dxa"/>
            <w:tcBorders>
              <w:top w:val="single" w:color="auto" w:sz="4" w:space="0"/>
              <w:left w:val="single" w:color="auto" w:sz="4" w:space="0"/>
              <w:bottom w:val="single" w:color="auto" w:sz="4" w:space="0"/>
              <w:right w:val="single" w:color="auto" w:sz="4" w:space="0"/>
            </w:tcBorders>
            <w:shd w:val="clear" w:color="auto" w:fill="1B1F7D"/>
            <w:tcMar>
              <w:left w:w="108" w:type="dxa"/>
              <w:right w:w="108" w:type="dxa"/>
            </w:tcMar>
            <w:vAlign w:val="center"/>
          </w:tcPr>
          <w:p w:rsidR="00527B8C" w:rsidP="00643496" w:rsidRDefault="00212A57" w14:paraId="0A4F2DA8" w14:textId="180D4C8A">
            <w:pPr>
              <w:spacing w:after="0" w:line="240" w:lineRule="auto"/>
              <w:jc w:val="both"/>
              <w:rPr>
                <w:rFonts w:asciiTheme="majorHAnsi" w:hAnsiTheme="majorHAnsi" w:eastAsiaTheme="majorEastAsia" w:cstheme="majorBidi"/>
                <w:b/>
                <w:bCs/>
                <w:color w:val="FFFFFF" w:themeColor="background1"/>
                <w:sz w:val="20"/>
                <w:szCs w:val="20"/>
              </w:rPr>
            </w:pPr>
            <w:r>
              <w:rPr>
                <w:rFonts w:asciiTheme="majorHAnsi" w:hAnsiTheme="majorHAnsi" w:eastAsiaTheme="majorEastAsia" w:cstheme="majorBidi"/>
                <w:b/>
                <w:bCs/>
                <w:color w:val="FFFFFF" w:themeColor="background1"/>
                <w:sz w:val="20"/>
                <w:szCs w:val="20"/>
              </w:rPr>
              <w:t>Norma/objeto</w:t>
            </w:r>
          </w:p>
        </w:tc>
        <w:tc>
          <w:tcPr>
            <w:tcW w:w="1259" w:type="dxa"/>
            <w:tcBorders>
              <w:top w:val="single" w:color="auto" w:sz="4" w:space="0"/>
              <w:left w:val="single" w:color="auto" w:sz="4" w:space="0"/>
              <w:bottom w:val="single" w:color="auto" w:sz="4" w:space="0"/>
              <w:right w:val="single" w:color="auto" w:sz="4" w:space="0"/>
            </w:tcBorders>
            <w:shd w:val="clear" w:color="auto" w:fill="1B1F7D"/>
            <w:tcMar>
              <w:left w:w="108" w:type="dxa"/>
              <w:right w:w="108" w:type="dxa"/>
            </w:tcMar>
            <w:vAlign w:val="center"/>
          </w:tcPr>
          <w:p w:rsidR="00527B8C" w:rsidP="00643496" w:rsidRDefault="00212A57" w14:paraId="1A974067" w14:textId="77777777">
            <w:pPr>
              <w:spacing w:after="0" w:line="240" w:lineRule="auto"/>
              <w:jc w:val="both"/>
              <w:rPr>
                <w:rFonts w:asciiTheme="majorHAnsi" w:hAnsiTheme="majorHAnsi" w:eastAsiaTheme="majorEastAsia" w:cstheme="majorBidi"/>
                <w:b/>
                <w:bCs/>
                <w:color w:val="FFFFFF" w:themeColor="background1"/>
                <w:sz w:val="20"/>
                <w:szCs w:val="20"/>
              </w:rPr>
            </w:pPr>
            <w:r>
              <w:rPr>
                <w:rFonts w:asciiTheme="majorHAnsi" w:hAnsiTheme="majorHAnsi" w:eastAsiaTheme="majorEastAsia" w:cstheme="majorBidi"/>
                <w:b/>
                <w:bCs/>
                <w:color w:val="FFFFFF" w:themeColor="background1"/>
                <w:sz w:val="20"/>
                <w:szCs w:val="20"/>
              </w:rPr>
              <w:t>Tipo</w:t>
            </w:r>
          </w:p>
        </w:tc>
        <w:tc>
          <w:tcPr>
            <w:tcW w:w="5552" w:type="dxa"/>
            <w:tcBorders>
              <w:top w:val="single" w:color="auto" w:sz="4" w:space="0"/>
              <w:left w:val="single" w:color="auto" w:sz="4" w:space="0"/>
              <w:bottom w:val="single" w:color="auto" w:sz="4" w:space="0"/>
              <w:right w:val="single" w:color="auto" w:sz="4" w:space="0"/>
            </w:tcBorders>
            <w:shd w:val="clear" w:color="auto" w:fill="1B1F7D"/>
            <w:tcMar>
              <w:left w:w="108" w:type="dxa"/>
              <w:right w:w="108" w:type="dxa"/>
            </w:tcMar>
            <w:vAlign w:val="center"/>
          </w:tcPr>
          <w:p w:rsidR="00527B8C" w:rsidP="00643496" w:rsidRDefault="00212A57" w14:paraId="378E7600" w14:textId="77777777">
            <w:pPr>
              <w:spacing w:after="0" w:line="240" w:lineRule="auto"/>
              <w:jc w:val="both"/>
              <w:rPr>
                <w:rFonts w:asciiTheme="majorHAnsi" w:hAnsiTheme="majorHAnsi" w:eastAsiaTheme="majorEastAsia" w:cstheme="majorBidi"/>
                <w:b/>
                <w:bCs/>
                <w:color w:val="FFFFFF" w:themeColor="background1"/>
                <w:sz w:val="20"/>
                <w:szCs w:val="20"/>
              </w:rPr>
            </w:pPr>
            <w:r>
              <w:rPr>
                <w:rFonts w:asciiTheme="majorHAnsi" w:hAnsiTheme="majorHAnsi" w:eastAsiaTheme="majorEastAsia" w:cstheme="majorBidi"/>
                <w:b/>
                <w:bCs/>
                <w:color w:val="FFFFFF" w:themeColor="background1"/>
                <w:sz w:val="20"/>
                <w:szCs w:val="20"/>
              </w:rPr>
              <w:t>Aplicación al Contexto Ambiental de la MMC</w:t>
            </w:r>
          </w:p>
        </w:tc>
      </w:tr>
      <w:tr w:rsidR="00527B8C" w:rsidTr="00643496" w14:paraId="57505426" w14:textId="77777777">
        <w:trPr>
          <w:trHeight w:val="300"/>
          <w:jc w:val="center"/>
        </w:trPr>
        <w:tc>
          <w:tcPr>
            <w:tcW w:w="181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2DA1BDCC"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Ley 2 de 1959</w:t>
            </w:r>
          </w:p>
        </w:tc>
        <w:tc>
          <w:tcPr>
            <w:tcW w:w="125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30FAF5C8"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Ley</w:t>
            </w:r>
          </w:p>
        </w:tc>
        <w:tc>
          <w:tcPr>
            <w:tcW w:w="5552"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26B3B5C0"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Creación de la Reserva Forestal Nacional del Amazonas.</w:t>
            </w:r>
          </w:p>
        </w:tc>
      </w:tr>
      <w:tr w:rsidR="00527B8C" w:rsidTr="00643496" w14:paraId="79E443B8" w14:textId="77777777">
        <w:trPr>
          <w:trHeight w:val="300"/>
          <w:jc w:val="center"/>
        </w:trPr>
        <w:tc>
          <w:tcPr>
            <w:tcW w:w="181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3FB927FF"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Ley 99 de 1993</w:t>
            </w:r>
          </w:p>
        </w:tc>
        <w:tc>
          <w:tcPr>
            <w:tcW w:w="125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3D403495"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Ley</w:t>
            </w:r>
          </w:p>
        </w:tc>
        <w:tc>
          <w:tcPr>
            <w:tcW w:w="5552"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632E14E3"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Creación del SINA; establece la obligatoriedad de la Licencia Ambiental.</w:t>
            </w:r>
          </w:p>
        </w:tc>
      </w:tr>
      <w:tr w:rsidR="00527B8C" w:rsidTr="00643496" w14:paraId="3A58E8F3" w14:textId="77777777">
        <w:trPr>
          <w:trHeight w:val="300"/>
          <w:jc w:val="center"/>
        </w:trPr>
        <w:tc>
          <w:tcPr>
            <w:tcW w:w="181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4506E254"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Ley 165 de 1994</w:t>
            </w:r>
          </w:p>
        </w:tc>
        <w:tc>
          <w:tcPr>
            <w:tcW w:w="125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34258D5A"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Ley</w:t>
            </w:r>
          </w:p>
        </w:tc>
        <w:tc>
          <w:tcPr>
            <w:tcW w:w="5552"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1FAC918F"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Aprueba el Convenio sobre la Diversidad Biológica.</w:t>
            </w:r>
          </w:p>
        </w:tc>
      </w:tr>
      <w:tr w:rsidR="00527B8C" w:rsidTr="00643496" w14:paraId="646F612E" w14:textId="77777777">
        <w:trPr>
          <w:trHeight w:val="300"/>
          <w:jc w:val="center"/>
        </w:trPr>
        <w:tc>
          <w:tcPr>
            <w:tcW w:w="181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7FED8F7C"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Ley 388 de 1997</w:t>
            </w:r>
          </w:p>
        </w:tc>
        <w:tc>
          <w:tcPr>
            <w:tcW w:w="125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57A686C0"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Ley</w:t>
            </w:r>
          </w:p>
        </w:tc>
        <w:tc>
          <w:tcPr>
            <w:tcW w:w="5552"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2A8C5396"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Establece mecanismos para que los municipios promuevan el ordenamiento territorial y la preservación y defensa del patrimonio ecológico</w:t>
            </w:r>
          </w:p>
        </w:tc>
      </w:tr>
      <w:tr w:rsidR="00527B8C" w:rsidTr="00643496" w14:paraId="7DD1964F" w14:textId="77777777">
        <w:trPr>
          <w:trHeight w:val="300"/>
          <w:jc w:val="center"/>
        </w:trPr>
        <w:tc>
          <w:tcPr>
            <w:tcW w:w="181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1FF00AB0"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Ley 357 de 1997</w:t>
            </w:r>
          </w:p>
        </w:tc>
        <w:tc>
          <w:tcPr>
            <w:tcW w:w="125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527B8C" w14:paraId="56D6C7C5" w14:textId="77777777">
            <w:pPr>
              <w:spacing w:after="0" w:line="240" w:lineRule="auto"/>
              <w:jc w:val="both"/>
              <w:rPr>
                <w:rFonts w:asciiTheme="majorHAnsi" w:hAnsiTheme="majorHAnsi" w:eastAsiaTheme="majorEastAsia" w:cstheme="majorBidi"/>
                <w:sz w:val="20"/>
                <w:szCs w:val="20"/>
              </w:rPr>
            </w:pPr>
          </w:p>
        </w:tc>
        <w:tc>
          <w:tcPr>
            <w:tcW w:w="5552"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08BAB580"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Aprueba la Convención Relativa a los Humedales de Importancia Internacional (Convención RAMSAR)</w:t>
            </w:r>
          </w:p>
        </w:tc>
      </w:tr>
      <w:tr w:rsidR="00527B8C" w:rsidTr="00643496" w14:paraId="0B680F34" w14:textId="77777777">
        <w:trPr>
          <w:trHeight w:val="300"/>
          <w:jc w:val="center"/>
        </w:trPr>
        <w:tc>
          <w:tcPr>
            <w:tcW w:w="181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6C805859"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Ley 685 de 2001</w:t>
            </w:r>
          </w:p>
        </w:tc>
        <w:tc>
          <w:tcPr>
            <w:tcW w:w="125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12CA2DB8"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Ley</w:t>
            </w:r>
          </w:p>
        </w:tc>
        <w:tc>
          <w:tcPr>
            <w:tcW w:w="5552"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7148A829"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Código de Minas; establece el Plan de Cierre y Abandono (Título X).</w:t>
            </w:r>
          </w:p>
        </w:tc>
      </w:tr>
      <w:tr w:rsidR="00527B8C" w:rsidTr="00643496" w14:paraId="0D7682F5" w14:textId="77777777">
        <w:trPr>
          <w:trHeight w:val="300"/>
          <w:jc w:val="center"/>
        </w:trPr>
        <w:tc>
          <w:tcPr>
            <w:tcW w:w="181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321BFD5B"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Decreto 2245 de 2017</w:t>
            </w:r>
          </w:p>
        </w:tc>
        <w:tc>
          <w:tcPr>
            <w:tcW w:w="125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76D36020"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Decreto</w:t>
            </w:r>
          </w:p>
        </w:tc>
        <w:tc>
          <w:tcPr>
            <w:tcW w:w="5552"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261BA430"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Reglamenta el acotamiento de rondas hídricas.</w:t>
            </w:r>
          </w:p>
        </w:tc>
      </w:tr>
      <w:tr w:rsidR="00527B8C" w:rsidTr="00643496" w14:paraId="4323E72F" w14:textId="77777777">
        <w:trPr>
          <w:trHeight w:val="300"/>
          <w:jc w:val="center"/>
        </w:trPr>
        <w:tc>
          <w:tcPr>
            <w:tcW w:w="181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168AA95A"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Decreto 1076 de 2015</w:t>
            </w:r>
          </w:p>
        </w:tc>
        <w:tc>
          <w:tcPr>
            <w:tcW w:w="125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608FABF3"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Decreto</w:t>
            </w:r>
          </w:p>
        </w:tc>
        <w:tc>
          <w:tcPr>
            <w:tcW w:w="5552"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02C46358"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DUR Sector Ambiente; reglamenta el licenciamiento, vertimientos y uso del recurso hídrico.</w:t>
            </w:r>
          </w:p>
        </w:tc>
      </w:tr>
      <w:tr w:rsidR="00527B8C" w:rsidTr="00643496" w14:paraId="39FD8502" w14:textId="77777777">
        <w:trPr>
          <w:trHeight w:val="300"/>
          <w:jc w:val="center"/>
        </w:trPr>
        <w:tc>
          <w:tcPr>
            <w:tcW w:w="181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5368C31A"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Decreto 1640 de 2012</w:t>
            </w:r>
          </w:p>
        </w:tc>
        <w:tc>
          <w:tcPr>
            <w:tcW w:w="125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7511A2CB"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Decreto</w:t>
            </w:r>
          </w:p>
        </w:tc>
        <w:tc>
          <w:tcPr>
            <w:tcW w:w="5552"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409F4A98"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Reglamenta la planificación y ordenación de cuencas hidrográficas (POMCA).</w:t>
            </w:r>
          </w:p>
        </w:tc>
      </w:tr>
      <w:tr w:rsidR="00527B8C" w:rsidTr="00643496" w14:paraId="75BD3689" w14:textId="77777777">
        <w:trPr>
          <w:trHeight w:val="300"/>
          <w:jc w:val="center"/>
        </w:trPr>
        <w:tc>
          <w:tcPr>
            <w:tcW w:w="181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4DE464C2"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Ley 1844 de 2017</w:t>
            </w:r>
          </w:p>
        </w:tc>
        <w:tc>
          <w:tcPr>
            <w:tcW w:w="125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4DFA47CF"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Ley</w:t>
            </w:r>
          </w:p>
        </w:tc>
        <w:tc>
          <w:tcPr>
            <w:tcW w:w="5552"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15A1A82B"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Aprueba el Acuerdo de París sobre cambio climático</w:t>
            </w:r>
          </w:p>
        </w:tc>
      </w:tr>
      <w:tr w:rsidR="00527B8C" w:rsidTr="00643496" w14:paraId="27B80F79" w14:textId="77777777">
        <w:trPr>
          <w:trHeight w:val="300"/>
          <w:jc w:val="center"/>
        </w:trPr>
        <w:tc>
          <w:tcPr>
            <w:tcW w:w="181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76E21975"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Decreto 2245 de 2017</w:t>
            </w:r>
          </w:p>
        </w:tc>
        <w:tc>
          <w:tcPr>
            <w:tcW w:w="125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5AF788BA"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Decreto</w:t>
            </w:r>
          </w:p>
        </w:tc>
        <w:tc>
          <w:tcPr>
            <w:tcW w:w="5552"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65451EB6"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Reglamenta el acotamiento de rondas hídricas.</w:t>
            </w:r>
          </w:p>
        </w:tc>
      </w:tr>
      <w:tr w:rsidR="00527B8C" w:rsidTr="00643496" w14:paraId="735A95F0" w14:textId="77777777">
        <w:trPr>
          <w:trHeight w:val="300"/>
          <w:jc w:val="center"/>
        </w:trPr>
        <w:tc>
          <w:tcPr>
            <w:tcW w:w="181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5B366940"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Decreto 1640 de 2012</w:t>
            </w:r>
          </w:p>
        </w:tc>
        <w:tc>
          <w:tcPr>
            <w:tcW w:w="125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5170A35A"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Decreto</w:t>
            </w:r>
          </w:p>
          <w:p w:rsidR="00527B8C" w:rsidP="00643496" w:rsidRDefault="00527B8C" w14:paraId="69378B22" w14:textId="77777777">
            <w:pPr>
              <w:spacing w:after="0" w:line="240" w:lineRule="auto"/>
              <w:jc w:val="both"/>
              <w:rPr>
                <w:rFonts w:asciiTheme="majorHAnsi" w:hAnsiTheme="majorHAnsi" w:eastAsiaTheme="majorEastAsia" w:cstheme="majorBidi"/>
                <w:sz w:val="20"/>
                <w:szCs w:val="20"/>
              </w:rPr>
            </w:pPr>
          </w:p>
        </w:tc>
        <w:tc>
          <w:tcPr>
            <w:tcW w:w="5552"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12E19695" w14:textId="38F8E33E">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Reglamenta instrumentos para la planificación, ordenación y manejo de cuencas hidrográficas y acuíferos.</w:t>
            </w:r>
          </w:p>
        </w:tc>
      </w:tr>
      <w:tr w:rsidR="00527B8C" w:rsidTr="00643496" w14:paraId="66D7058D" w14:textId="77777777">
        <w:trPr>
          <w:trHeight w:val="300"/>
          <w:jc w:val="center"/>
        </w:trPr>
        <w:tc>
          <w:tcPr>
            <w:tcW w:w="181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753700C9"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Resolución 0631 de 2015</w:t>
            </w:r>
          </w:p>
        </w:tc>
        <w:tc>
          <w:tcPr>
            <w:tcW w:w="125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5A260EBD"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Resolución</w:t>
            </w:r>
          </w:p>
        </w:tc>
        <w:tc>
          <w:tcPr>
            <w:tcW w:w="5552"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01103BE9"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Establece los parámetros y valores límites máximos de vertimiento.</w:t>
            </w:r>
          </w:p>
        </w:tc>
      </w:tr>
      <w:tr w:rsidR="00527B8C" w:rsidTr="00643496" w14:paraId="022DCF03" w14:textId="77777777">
        <w:trPr>
          <w:trHeight w:val="300"/>
          <w:jc w:val="center"/>
        </w:trPr>
        <w:tc>
          <w:tcPr>
            <w:tcW w:w="181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61FCDCFF"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MADS. (2018).</w:t>
            </w:r>
          </w:p>
        </w:tc>
        <w:tc>
          <w:tcPr>
            <w:tcW w:w="125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3CB701B9"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Guía Técnica</w:t>
            </w:r>
          </w:p>
        </w:tc>
        <w:tc>
          <w:tcPr>
            <w:tcW w:w="5552"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53C9DCF0"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i/>
                <w:iCs/>
                <w:sz w:val="20"/>
                <w:szCs w:val="20"/>
              </w:rPr>
              <w:t>Guía Ambiental Minería de Materiales de Construcción Fluviales.</w:t>
            </w:r>
            <w:r>
              <w:rPr>
                <w:rFonts w:asciiTheme="majorHAnsi" w:hAnsiTheme="majorHAnsi" w:eastAsiaTheme="majorEastAsia" w:cstheme="majorBidi"/>
                <w:sz w:val="20"/>
                <w:szCs w:val="20"/>
              </w:rPr>
              <w:t xml:space="preserve"> MADS.</w:t>
            </w:r>
          </w:p>
        </w:tc>
      </w:tr>
      <w:tr w:rsidR="00527B8C" w:rsidTr="00643496" w14:paraId="5555D345" w14:textId="77777777">
        <w:trPr>
          <w:trHeight w:val="300"/>
          <w:jc w:val="center"/>
        </w:trPr>
        <w:tc>
          <w:tcPr>
            <w:tcW w:w="181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326B682E"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SINCHI. (2022).</w:t>
            </w:r>
          </w:p>
        </w:tc>
        <w:tc>
          <w:tcPr>
            <w:tcW w:w="125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5D886821"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Informe Técnico</w:t>
            </w:r>
          </w:p>
        </w:tc>
        <w:tc>
          <w:tcPr>
            <w:tcW w:w="5552"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550FAC67" w14:textId="77777777">
            <w:pPr>
              <w:spacing w:after="0" w:line="240" w:lineRule="auto"/>
              <w:jc w:val="both"/>
              <w:rPr>
                <w:rFonts w:asciiTheme="majorHAnsi" w:hAnsiTheme="majorHAnsi" w:eastAsiaTheme="majorEastAsia" w:cstheme="majorBidi"/>
                <w:i/>
                <w:iCs/>
                <w:sz w:val="20"/>
                <w:szCs w:val="20"/>
              </w:rPr>
            </w:pPr>
            <w:r>
              <w:rPr>
                <w:rFonts w:asciiTheme="majorHAnsi" w:hAnsiTheme="majorHAnsi" w:eastAsiaTheme="majorEastAsia" w:cstheme="majorBidi"/>
                <w:i/>
                <w:iCs/>
                <w:sz w:val="20"/>
                <w:szCs w:val="20"/>
              </w:rPr>
              <w:t>Sistema de Información Ambiental Territorial de la Amazonia Colombiana (SIAT-AC).</w:t>
            </w:r>
          </w:p>
        </w:tc>
      </w:tr>
      <w:tr w:rsidR="00527B8C" w:rsidTr="00643496" w14:paraId="1E753996" w14:textId="77777777">
        <w:trPr>
          <w:trHeight w:val="300"/>
          <w:jc w:val="center"/>
        </w:trPr>
        <w:tc>
          <w:tcPr>
            <w:tcW w:w="181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5896CE77"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UPME. (2023).</w:t>
            </w:r>
          </w:p>
        </w:tc>
        <w:tc>
          <w:tcPr>
            <w:tcW w:w="125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2C7B8140"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Documento Técnico</w:t>
            </w:r>
          </w:p>
        </w:tc>
        <w:tc>
          <w:tcPr>
            <w:tcW w:w="5552"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191A3BCF"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i/>
                <w:iCs/>
                <w:sz w:val="20"/>
                <w:szCs w:val="20"/>
              </w:rPr>
              <w:t>Guía para la elaboración de Planes de Cierre de Minas.</w:t>
            </w:r>
            <w:r>
              <w:rPr>
                <w:rFonts w:asciiTheme="majorHAnsi" w:hAnsiTheme="majorHAnsi" w:eastAsiaTheme="majorEastAsia" w:cstheme="majorBidi"/>
                <w:sz w:val="20"/>
                <w:szCs w:val="20"/>
              </w:rPr>
              <w:t xml:space="preserve"> UPME.</w:t>
            </w:r>
          </w:p>
        </w:tc>
      </w:tr>
      <w:tr w:rsidR="00527B8C" w:rsidTr="00643496" w14:paraId="55395F20" w14:textId="77777777">
        <w:trPr>
          <w:trHeight w:val="300"/>
          <w:jc w:val="center"/>
        </w:trPr>
        <w:tc>
          <w:tcPr>
            <w:tcW w:w="181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122EEA9D"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Rodríguez, A., &amp; Silva, C. (2022).</w:t>
            </w:r>
          </w:p>
        </w:tc>
        <w:tc>
          <w:tcPr>
            <w:tcW w:w="125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2CEB4893"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Artículo</w:t>
            </w:r>
          </w:p>
        </w:tc>
        <w:tc>
          <w:tcPr>
            <w:tcW w:w="5552"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594C0A70"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i/>
                <w:iCs/>
                <w:sz w:val="20"/>
                <w:szCs w:val="20"/>
              </w:rPr>
              <w:t>Retos y perspectivas de la minería en la Amazonia colombiana.</w:t>
            </w:r>
            <w:r>
              <w:rPr>
                <w:rFonts w:asciiTheme="majorHAnsi" w:hAnsiTheme="majorHAnsi" w:eastAsiaTheme="majorEastAsia" w:cstheme="majorBidi"/>
                <w:sz w:val="20"/>
                <w:szCs w:val="20"/>
              </w:rPr>
              <w:t xml:space="preserve"> Revista de Estudios Amazónicos, 11(2).</w:t>
            </w:r>
          </w:p>
        </w:tc>
      </w:tr>
      <w:tr w:rsidR="00527B8C" w:rsidTr="00643496" w14:paraId="6C1239E7" w14:textId="77777777">
        <w:trPr>
          <w:trHeight w:val="300"/>
          <w:jc w:val="center"/>
        </w:trPr>
        <w:tc>
          <w:tcPr>
            <w:tcW w:w="181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150332CF"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UPTC. (2019).</w:t>
            </w:r>
          </w:p>
        </w:tc>
        <w:tc>
          <w:tcPr>
            <w:tcW w:w="125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36C0DD0E"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Documento Técnico</w:t>
            </w:r>
          </w:p>
        </w:tc>
        <w:tc>
          <w:tcPr>
            <w:tcW w:w="5552"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1FED4239"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i/>
                <w:iCs/>
                <w:sz w:val="20"/>
                <w:szCs w:val="20"/>
              </w:rPr>
              <w:t>Método de Diques Transversales.</w:t>
            </w:r>
            <w:r>
              <w:rPr>
                <w:rFonts w:asciiTheme="majorHAnsi" w:hAnsiTheme="majorHAnsi" w:eastAsiaTheme="majorEastAsia" w:cstheme="majorBidi"/>
                <w:sz w:val="20"/>
                <w:szCs w:val="20"/>
              </w:rPr>
              <w:t xml:space="preserve"> Recuperado de UPTC.</w:t>
            </w:r>
          </w:p>
        </w:tc>
      </w:tr>
      <w:tr w:rsidR="00527B8C" w:rsidTr="00643496" w14:paraId="6EEACFA4" w14:textId="77777777">
        <w:trPr>
          <w:trHeight w:val="300"/>
          <w:jc w:val="center"/>
        </w:trPr>
        <w:tc>
          <w:tcPr>
            <w:tcW w:w="181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124451C6"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Decreto 2372 de 2010</w:t>
            </w:r>
          </w:p>
        </w:tc>
        <w:tc>
          <w:tcPr>
            <w:tcW w:w="125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6201E056"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Decreto</w:t>
            </w:r>
          </w:p>
          <w:p w:rsidR="00527B8C" w:rsidP="00643496" w:rsidRDefault="00527B8C" w14:paraId="7D08210D" w14:textId="77777777">
            <w:pPr>
              <w:spacing w:after="0" w:line="240" w:lineRule="auto"/>
              <w:jc w:val="both"/>
              <w:rPr>
                <w:rFonts w:asciiTheme="majorHAnsi" w:hAnsiTheme="majorHAnsi" w:eastAsiaTheme="majorEastAsia" w:cstheme="majorBidi"/>
                <w:sz w:val="20"/>
                <w:szCs w:val="20"/>
              </w:rPr>
            </w:pPr>
          </w:p>
        </w:tc>
        <w:tc>
          <w:tcPr>
            <w:tcW w:w="5552"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3BE8D972"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Reglamenta el Sistema Nacional de Áreas Protegidas</w:t>
            </w:r>
          </w:p>
        </w:tc>
      </w:tr>
      <w:tr w:rsidR="00527B8C" w:rsidTr="00643496" w14:paraId="2FA162A2" w14:textId="77777777">
        <w:trPr>
          <w:trHeight w:val="300"/>
          <w:jc w:val="center"/>
        </w:trPr>
        <w:tc>
          <w:tcPr>
            <w:tcW w:w="181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412CAFA1"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Ley 1930 de 2018</w:t>
            </w:r>
          </w:p>
        </w:tc>
        <w:tc>
          <w:tcPr>
            <w:tcW w:w="125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6A5A8070"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Ley</w:t>
            </w:r>
          </w:p>
        </w:tc>
        <w:tc>
          <w:tcPr>
            <w:tcW w:w="5552"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2CFE376F"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Dicta disposiciones para la Gestión Integral de los Páramos en Colombia.</w:t>
            </w:r>
          </w:p>
        </w:tc>
      </w:tr>
      <w:tr w:rsidR="00527B8C" w:rsidTr="00643496" w14:paraId="4C31FAE2" w14:textId="77777777">
        <w:trPr>
          <w:trHeight w:val="300"/>
          <w:jc w:val="center"/>
        </w:trPr>
        <w:tc>
          <w:tcPr>
            <w:tcW w:w="181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5D51BB5D"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Ley 1931 de 2018</w:t>
            </w:r>
          </w:p>
        </w:tc>
        <w:tc>
          <w:tcPr>
            <w:tcW w:w="1259"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238DC8D0"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Ley</w:t>
            </w:r>
          </w:p>
        </w:tc>
        <w:tc>
          <w:tcPr>
            <w:tcW w:w="5552"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527B8C" w:rsidP="00643496" w:rsidRDefault="00212A57" w14:paraId="115D87DE" w14:textId="77777777">
            <w:pPr>
              <w:spacing w:after="0" w:line="240" w:lineRule="auto"/>
              <w:jc w:val="both"/>
              <w:rPr>
                <w:rFonts w:asciiTheme="majorHAnsi" w:hAnsiTheme="majorHAnsi" w:eastAsiaTheme="majorEastAsia" w:cstheme="majorBidi"/>
                <w:sz w:val="20"/>
                <w:szCs w:val="20"/>
              </w:rPr>
            </w:pPr>
            <w:r>
              <w:rPr>
                <w:rFonts w:asciiTheme="majorHAnsi" w:hAnsiTheme="majorHAnsi" w:eastAsiaTheme="majorEastAsia" w:cstheme="majorBidi"/>
                <w:sz w:val="20"/>
                <w:szCs w:val="20"/>
              </w:rPr>
              <w:t>Establece directrices para la gestión del cambio climático</w:t>
            </w:r>
          </w:p>
        </w:tc>
      </w:tr>
    </w:tbl>
    <w:p w:rsidRPr="00643496" w:rsidR="00527B8C" w:rsidP="00643496" w:rsidRDefault="00212A57" w14:paraId="28062107" w14:textId="77777777">
      <w:pPr>
        <w:spacing w:after="0" w:line="360" w:lineRule="auto"/>
        <w:jc w:val="center"/>
        <w:rPr>
          <w:rFonts w:cs="Calibri"/>
          <w:i/>
          <w:iCs/>
          <w:sz w:val="20"/>
          <w:szCs w:val="20"/>
        </w:rPr>
      </w:pPr>
      <w:r w:rsidRPr="00643496">
        <w:rPr>
          <w:rFonts w:cs="Calibri"/>
          <w:i/>
          <w:iCs/>
          <w:sz w:val="20"/>
          <w:szCs w:val="20"/>
        </w:rPr>
        <w:t xml:space="preserve">Fuente:  Sala de Monitoreo </w:t>
      </w:r>
      <w:r w:rsidRPr="00643496">
        <w:rPr>
          <w:rFonts w:cs="Calibri"/>
          <w:i/>
          <w:iCs/>
          <w:sz w:val="20"/>
          <w:szCs w:val="20"/>
          <w:lang w:val="es-CO"/>
        </w:rPr>
        <w:t xml:space="preserve">- </w:t>
      </w:r>
      <w:r w:rsidRPr="00643496">
        <w:rPr>
          <w:rFonts w:cs="Calibri"/>
          <w:i/>
          <w:iCs/>
          <w:sz w:val="20"/>
          <w:szCs w:val="20"/>
        </w:rPr>
        <w:t>consulta</w:t>
      </w:r>
      <w:r w:rsidRPr="00643496">
        <w:rPr>
          <w:rFonts w:cs="Calibri"/>
          <w:i/>
          <w:iCs/>
          <w:sz w:val="20"/>
          <w:szCs w:val="20"/>
          <w:lang w:val="es-CO"/>
        </w:rPr>
        <w:t xml:space="preserve">: </w:t>
      </w:r>
      <w:r w:rsidRPr="00643496">
        <w:rPr>
          <w:rFonts w:cs="Calibri"/>
          <w:i/>
          <w:iCs/>
          <w:sz w:val="20"/>
          <w:szCs w:val="20"/>
        </w:rPr>
        <w:t>https://acortar.link/Wg7P9</w:t>
      </w:r>
    </w:p>
    <w:p w:rsidR="00527B8C" w:rsidRDefault="00527B8C" w14:paraId="0E2DD4ED" w14:textId="77777777">
      <w:pPr>
        <w:spacing w:after="0" w:line="360" w:lineRule="auto"/>
        <w:jc w:val="both"/>
        <w:rPr>
          <w:rFonts w:cs="Calibri"/>
          <w:sz w:val="24"/>
          <w:szCs w:val="24"/>
        </w:rPr>
      </w:pPr>
    </w:p>
    <w:p w:rsidR="00527B8C" w:rsidRDefault="00212A57" w14:paraId="0F4E313D" w14:textId="77777777">
      <w:pPr>
        <w:spacing w:line="360" w:lineRule="auto"/>
        <w:ind w:firstLine="302" w:firstLineChars="126"/>
        <w:jc w:val="both"/>
        <w:rPr>
          <w:rFonts w:cs="Calibri"/>
          <w:sz w:val="24"/>
          <w:szCs w:val="24"/>
        </w:rPr>
      </w:pPr>
      <w:r>
        <w:rPr>
          <w:rFonts w:cs="Calibri"/>
          <w:sz w:val="24"/>
          <w:szCs w:val="24"/>
        </w:rPr>
        <w:t xml:space="preserve">La dinámica de crecimiento de la MMC </w:t>
      </w:r>
      <w:r>
        <w:rPr>
          <w:rFonts w:cs="Calibri"/>
          <w:sz w:val="24"/>
          <w:szCs w:val="24"/>
          <w:lang w:val="es-CO"/>
        </w:rPr>
        <w:t xml:space="preserve"> </w:t>
      </w:r>
      <w:r>
        <w:rPr>
          <w:rFonts w:cs="Calibri"/>
          <w:sz w:val="24"/>
          <w:szCs w:val="24"/>
        </w:rPr>
        <w:t>ha ocurrido, en muchos casos, sin atender la legislación minera y ambiental vigente. Existen vacíos en la implementación operativa, especialmente en la articulación entre la política minera y los derechos territoriales indígenas, y en los mecanismos de monitoreo y control ambiental en territorios remotos.</w:t>
      </w:r>
    </w:p>
    <w:p w:rsidR="00527B8C" w:rsidRDefault="00527B8C" w14:paraId="45C399EC" w14:textId="77777777">
      <w:pPr>
        <w:pStyle w:val="Ttulo1"/>
        <w:keepNext w:val="0"/>
        <w:keepLines w:val="0"/>
        <w:spacing w:before="0" w:line="360" w:lineRule="auto"/>
        <w:jc w:val="both"/>
        <w:rPr>
          <w:rFonts w:ascii="Calibri" w:hAnsi="Calibri" w:eastAsia="Calibri" w:cs="Calibri"/>
          <w:sz w:val="24"/>
          <w:szCs w:val="24"/>
          <w:lang w:val="es-CO"/>
        </w:rPr>
      </w:pPr>
    </w:p>
    <w:p w:rsidR="00527B8C" w:rsidRDefault="00212A57" w14:paraId="7BF4C560" w14:textId="77777777">
      <w:pPr>
        <w:pStyle w:val="Ttulo1"/>
        <w:keepNext w:val="0"/>
        <w:keepLines w:val="0"/>
        <w:spacing w:before="0" w:line="360" w:lineRule="auto"/>
        <w:jc w:val="both"/>
        <w:rPr>
          <w:rFonts w:ascii="Calibri" w:hAnsi="Calibri" w:eastAsia="Calibri" w:cs="Calibri"/>
          <w:sz w:val="24"/>
          <w:szCs w:val="24"/>
          <w:lang w:val="es-CO"/>
        </w:rPr>
      </w:pPr>
      <w:bookmarkStart w:name="_Toc1017321264" w:id="760758975"/>
      <w:r w:rsidRPr="53DEF7DD" w:rsidR="670101B5">
        <w:rPr>
          <w:rFonts w:ascii="Calibri" w:hAnsi="Calibri" w:eastAsia="Calibri" w:cs="Calibri"/>
          <w:sz w:val="24"/>
          <w:szCs w:val="24"/>
          <w:lang w:val="es-CO"/>
        </w:rPr>
        <w:t>5.3. Problemática e Impactos Socioambientales de la MMC</w:t>
      </w:r>
      <w:bookmarkEnd w:id="760758975"/>
    </w:p>
    <w:p w:rsidR="00527B8C" w:rsidRDefault="00527B8C" w14:paraId="7845017D" w14:textId="77777777">
      <w:pPr>
        <w:rPr>
          <w:lang w:val="es-CO"/>
        </w:rPr>
      </w:pPr>
    </w:p>
    <w:p w:rsidR="00527B8C" w:rsidRDefault="00212A57" w14:paraId="0A56FDF1" w14:textId="77777777">
      <w:pPr>
        <w:spacing w:line="360" w:lineRule="auto"/>
        <w:ind w:firstLine="302" w:firstLineChars="126"/>
        <w:jc w:val="both"/>
        <w:rPr>
          <w:rFonts w:asciiTheme="majorHAnsi" w:hAnsiTheme="majorHAnsi" w:eastAsiaTheme="majorEastAsia" w:cstheme="majorBidi"/>
          <w:sz w:val="24"/>
          <w:szCs w:val="24"/>
        </w:rPr>
      </w:pPr>
      <w:r>
        <w:rPr>
          <w:rFonts w:asciiTheme="majorHAnsi" w:hAnsiTheme="majorHAnsi" w:eastAsiaTheme="majorEastAsia" w:cstheme="majorBidi"/>
          <w:sz w:val="24"/>
          <w:szCs w:val="24"/>
        </w:rPr>
        <w:t>La minería de materiales de construcción (MMC), aunque marginal en la producción nacional acumulada de la Amazonía (inferior al 2% en todos los materiales analizados entre 2016 y 2022) contrasta con la intensidad de los impactos ambientales y sociales generados localmente, sugiriendo que la extracción se concentra en territorios de alta vulnerabilidad ecológica y social, frecuentemente coincidentes con áreas protegidas y territorios indígenas.</w:t>
      </w:r>
    </w:p>
    <w:p w:rsidR="00527B8C" w:rsidRDefault="00212A57" w14:paraId="4658BED2" w14:textId="77777777">
      <w:pPr>
        <w:spacing w:after="0" w:line="360" w:lineRule="auto"/>
        <w:ind w:firstLine="302" w:firstLineChars="126"/>
        <w:jc w:val="both"/>
        <w:rPr>
          <w:rFonts w:asciiTheme="majorHAnsi" w:hAnsiTheme="majorHAnsi" w:eastAsiaTheme="majorEastAsia" w:cstheme="majorBidi"/>
          <w:i/>
          <w:iCs/>
          <w:sz w:val="24"/>
          <w:szCs w:val="24"/>
          <w:lang w:val="es-CO"/>
        </w:rPr>
      </w:pPr>
      <w:r>
        <w:rPr>
          <w:rFonts w:asciiTheme="majorHAnsi" w:hAnsiTheme="majorHAnsi" w:eastAsiaTheme="majorEastAsia" w:cstheme="majorBidi"/>
          <w:sz w:val="24"/>
          <w:szCs w:val="24"/>
        </w:rPr>
        <w:t>Según la L</w:t>
      </w:r>
      <w:r>
        <w:rPr>
          <w:rFonts w:asciiTheme="majorHAnsi" w:hAnsiTheme="majorHAnsi" w:eastAsiaTheme="majorEastAsia" w:cstheme="majorBidi"/>
          <w:sz w:val="24"/>
          <w:szCs w:val="24"/>
          <w:lang w:val="es-CO"/>
        </w:rPr>
        <w:t>ey</w:t>
      </w:r>
      <w:r>
        <w:rPr>
          <w:rFonts w:asciiTheme="majorHAnsi" w:hAnsiTheme="majorHAnsi" w:eastAsiaTheme="majorEastAsia" w:cstheme="majorBidi"/>
          <w:sz w:val="24"/>
          <w:szCs w:val="24"/>
        </w:rPr>
        <w:t xml:space="preserve"> 2327 de 2023 de pasivos ambientales en el A</w:t>
      </w:r>
      <w:r>
        <w:rPr>
          <w:rFonts w:asciiTheme="majorHAnsi" w:hAnsiTheme="majorHAnsi" w:eastAsiaTheme="majorEastAsia" w:cstheme="majorBidi"/>
          <w:sz w:val="24"/>
          <w:szCs w:val="24"/>
          <w:lang w:val="es-CO"/>
        </w:rPr>
        <w:t>rtículo</w:t>
      </w:r>
      <w:r>
        <w:rPr>
          <w:rFonts w:asciiTheme="majorHAnsi" w:hAnsiTheme="majorHAnsi" w:eastAsiaTheme="majorEastAsia" w:cstheme="majorBidi"/>
          <w:sz w:val="24"/>
          <w:szCs w:val="24"/>
        </w:rPr>
        <w:t xml:space="preserve"> 2. “</w:t>
      </w:r>
      <w:r>
        <w:rPr>
          <w:rFonts w:asciiTheme="majorHAnsi" w:hAnsiTheme="majorHAnsi" w:eastAsiaTheme="majorEastAsia" w:cstheme="majorBidi"/>
          <w:i/>
          <w:iCs/>
          <w:sz w:val="24"/>
          <w:szCs w:val="24"/>
        </w:rPr>
        <w:t>Entiéndase por Pasivo Ambiental las afectaciones ambientales originadas por actividades antrópicas directa o indirectamente por la mano del hombre, autorizadas o no, acumulativas o no, susceptibles de ser medibles, ubicables y delimitables geográficamente, que generan un nivel de riesgo no aceptable a la vida, la salud humana o el ambiente, de acuerdo con lo establecido por el Ministerio de Ambiente y Desarrollo Sostenible y el Ministerio de Salud, y para cuyo control no hay un instrumento ambiental o secto</w:t>
      </w:r>
      <w:r>
        <w:rPr>
          <w:rFonts w:asciiTheme="majorHAnsi" w:hAnsiTheme="majorHAnsi" w:eastAsiaTheme="majorEastAsia" w:cstheme="majorBidi"/>
          <w:i/>
          <w:iCs/>
          <w:sz w:val="24"/>
          <w:szCs w:val="24"/>
        </w:rPr>
        <w:t>rial”</w:t>
      </w:r>
      <w:r>
        <w:rPr>
          <w:rFonts w:asciiTheme="majorHAnsi" w:hAnsiTheme="majorHAnsi" w:eastAsiaTheme="majorEastAsia" w:cstheme="majorBidi"/>
          <w:i/>
          <w:iCs/>
          <w:sz w:val="24"/>
          <w:szCs w:val="24"/>
          <w:lang w:val="es-CO"/>
        </w:rPr>
        <w:t>.</w:t>
      </w:r>
    </w:p>
    <w:p w:rsidR="00527B8C" w:rsidRDefault="00527B8C" w14:paraId="559D67F0" w14:textId="77777777">
      <w:pPr>
        <w:spacing w:after="0" w:line="360" w:lineRule="auto"/>
        <w:ind w:firstLine="302" w:firstLineChars="126"/>
        <w:jc w:val="both"/>
        <w:rPr>
          <w:rFonts w:asciiTheme="majorHAnsi" w:hAnsiTheme="majorHAnsi" w:eastAsiaTheme="majorEastAsia" w:cstheme="majorBidi"/>
          <w:i/>
          <w:iCs/>
          <w:sz w:val="24"/>
          <w:szCs w:val="24"/>
          <w:lang w:val="es-CO"/>
        </w:rPr>
      </w:pPr>
    </w:p>
    <w:p w:rsidR="00527B8C" w:rsidRDefault="00212A57" w14:paraId="12A94060" w14:textId="77777777">
      <w:pPr>
        <w:spacing w:after="0" w:line="360" w:lineRule="auto"/>
        <w:ind w:firstLine="302" w:firstLineChars="126"/>
        <w:jc w:val="both"/>
        <w:rPr>
          <w:rFonts w:cs="Calibri"/>
          <w:sz w:val="24"/>
          <w:szCs w:val="24"/>
          <w:lang w:val="es-CO"/>
        </w:rPr>
      </w:pPr>
      <w:r>
        <w:rPr>
          <w:rFonts w:asciiTheme="majorHAnsi" w:hAnsiTheme="majorHAnsi" w:eastAsiaTheme="majorEastAsia" w:cstheme="majorBidi"/>
          <w:sz w:val="24"/>
          <w:szCs w:val="24"/>
        </w:rPr>
        <w:t>Cuando la extracción del material se realiza de una manera no sustentable no permite la al ecosistema tener la capacidad de recuperación o adaptación a la acción sometida por lo cual estas alteraciones “</w:t>
      </w:r>
      <w:r>
        <w:rPr>
          <w:rFonts w:cs="Calibri"/>
          <w:i/>
          <w:iCs/>
          <w:sz w:val="24"/>
          <w:szCs w:val="24"/>
          <w:lang w:val="es-CO"/>
        </w:rPr>
        <w:t>promueven la pérdida y degradación de los hábitats naturales y su biodiversidad, la contaminación del aire, suelo y agua, sin olvidar el cambio climático y los efectos colaterales en la salud humana.</w:t>
      </w:r>
      <w:r>
        <w:rPr>
          <w:rFonts w:cs="Calibri"/>
          <w:sz w:val="24"/>
          <w:szCs w:val="24"/>
          <w:lang w:val="es-CO"/>
        </w:rPr>
        <w:t>”</w:t>
      </w:r>
      <w:r>
        <w:rPr>
          <w:rStyle w:val="Refdenotaalpie"/>
          <w:rFonts w:cs="Calibri"/>
          <w:sz w:val="24"/>
          <w:szCs w:val="24"/>
          <w:lang w:val="es-CO"/>
        </w:rPr>
        <w:footnoteReference w:id="39"/>
      </w:r>
    </w:p>
    <w:p w:rsidR="00527B8C" w:rsidRDefault="00527B8C" w14:paraId="021762B8" w14:textId="77777777">
      <w:pPr>
        <w:spacing w:after="0" w:line="360" w:lineRule="auto"/>
        <w:ind w:firstLine="302" w:firstLineChars="126"/>
        <w:jc w:val="both"/>
        <w:rPr>
          <w:rFonts w:cs="Calibri"/>
          <w:sz w:val="24"/>
          <w:szCs w:val="24"/>
          <w:lang w:val="es-CO"/>
        </w:rPr>
      </w:pPr>
    </w:p>
    <w:p w:rsidR="00527B8C" w:rsidRDefault="00212A57" w14:paraId="5632D707" w14:textId="77777777">
      <w:pPr>
        <w:pStyle w:val="Prrafodelista"/>
        <w:numPr>
          <w:ilvl w:val="0"/>
          <w:numId w:val="40"/>
        </w:numPr>
        <w:spacing w:after="0" w:line="360" w:lineRule="auto"/>
        <w:ind w:firstLine="304" w:firstLineChars="126"/>
        <w:jc w:val="both"/>
        <w:rPr>
          <w:rFonts w:cs="Calibri"/>
          <w:sz w:val="24"/>
          <w:szCs w:val="24"/>
          <w:lang w:val="es-CO"/>
        </w:rPr>
      </w:pPr>
      <w:r>
        <w:rPr>
          <w:rFonts w:cs="Calibri"/>
          <w:b/>
          <w:bCs/>
          <w:sz w:val="24"/>
          <w:szCs w:val="24"/>
          <w:lang w:val="es-CO"/>
        </w:rPr>
        <w:t xml:space="preserve">Efectos Negativos Directos: </w:t>
      </w:r>
      <w:r>
        <w:rPr>
          <w:rFonts w:cs="Calibri"/>
          <w:sz w:val="24"/>
          <w:szCs w:val="24"/>
          <w:lang w:val="es-CO"/>
        </w:rPr>
        <w:t>El fenómeno extractivo, que incluye minería de subsistencia y extracción informal e ilegal, ha generado efectos negativos sobre ecosistemas estratégicos, particularmente aquellos asociados a la regulación hídrica, la biodiversidad, y la transformación del uso de los suelos.</w:t>
      </w:r>
    </w:p>
    <w:p w:rsidR="00527B8C" w:rsidRDefault="00527B8C" w14:paraId="77700B7F" w14:textId="77777777">
      <w:pPr>
        <w:pStyle w:val="Prrafodelista"/>
        <w:spacing w:after="0" w:line="360" w:lineRule="auto"/>
        <w:ind w:left="277" w:leftChars="126"/>
        <w:jc w:val="both"/>
        <w:rPr>
          <w:rFonts w:cs="Calibri"/>
          <w:sz w:val="24"/>
          <w:szCs w:val="24"/>
          <w:lang w:val="es-CO"/>
        </w:rPr>
      </w:pPr>
    </w:p>
    <w:p w:rsidR="00527B8C" w:rsidRDefault="00212A57" w14:paraId="207603D2" w14:textId="77777777">
      <w:pPr>
        <w:pStyle w:val="Prrafodelista"/>
        <w:numPr>
          <w:ilvl w:val="0"/>
          <w:numId w:val="40"/>
        </w:numPr>
        <w:spacing w:after="0" w:line="360" w:lineRule="auto"/>
        <w:ind w:firstLine="304" w:firstLineChars="126"/>
        <w:jc w:val="both"/>
        <w:rPr>
          <w:rFonts w:cs="Calibri"/>
          <w:sz w:val="24"/>
          <w:szCs w:val="24"/>
          <w:lang w:val="es-CO"/>
        </w:rPr>
      </w:pPr>
      <w:r>
        <w:rPr>
          <w:rFonts w:cs="Calibri"/>
          <w:b/>
          <w:bCs/>
          <w:sz w:val="24"/>
          <w:szCs w:val="24"/>
          <w:lang w:val="es-CO"/>
        </w:rPr>
        <w:t>Daños a Ecosistemas Fluviales:</w:t>
      </w:r>
      <w:r>
        <w:rPr>
          <w:rFonts w:cs="Calibri"/>
          <w:sz w:val="24"/>
          <w:szCs w:val="24"/>
          <w:lang w:val="es-CO"/>
        </w:rPr>
        <w:t xml:space="preserve"> La explotación, predominante en fuentes hídricas y superficiales, utiliza métodos hidráulicos que extraen sedimentos de terrazas aluviales, llanuras de inundación y lechos de ríos y quebradas. </w:t>
      </w:r>
    </w:p>
    <w:p w:rsidR="00527B8C" w:rsidRDefault="00212A57" w14:paraId="6A7D4C5A" w14:textId="77777777">
      <w:pPr>
        <w:spacing w:after="0" w:line="360" w:lineRule="auto"/>
        <w:ind w:firstLine="302" w:firstLineChars="126"/>
        <w:jc w:val="both"/>
        <w:rPr>
          <w:rFonts w:cs="Calibri"/>
          <w:sz w:val="24"/>
          <w:szCs w:val="24"/>
          <w:lang w:val="es-CO"/>
        </w:rPr>
      </w:pPr>
      <w:r>
        <w:rPr>
          <w:rFonts w:cs="Calibri"/>
          <w:sz w:val="24"/>
          <w:szCs w:val="24"/>
          <w:lang w:val="es-CO"/>
        </w:rPr>
        <w:t>Esto genera:</w:t>
      </w:r>
    </w:p>
    <w:p w:rsidR="00527B8C" w:rsidRDefault="00212A57" w14:paraId="63E71A52" w14:textId="77777777">
      <w:pPr>
        <w:pStyle w:val="Prrafodelista"/>
        <w:numPr>
          <w:ilvl w:val="0"/>
          <w:numId w:val="41"/>
        </w:numPr>
        <w:spacing w:after="0" w:line="360" w:lineRule="auto"/>
        <w:ind w:firstLine="302" w:firstLineChars="126"/>
        <w:jc w:val="both"/>
        <w:rPr>
          <w:rFonts w:cs="Calibri"/>
          <w:sz w:val="24"/>
          <w:szCs w:val="24"/>
          <w:lang w:val="es-CO"/>
        </w:rPr>
      </w:pPr>
      <w:r>
        <w:rPr>
          <w:rFonts w:cs="Calibri"/>
          <w:sz w:val="24"/>
          <w:szCs w:val="24"/>
          <w:lang w:val="es-CO"/>
        </w:rPr>
        <w:t>Cambios considerables en la cobertura de bosques y afectaciones significativas en fuentes hídricas.</w:t>
      </w:r>
    </w:p>
    <w:p w:rsidR="00527B8C" w:rsidRDefault="00212A57" w14:paraId="33E99EC5" w14:textId="77777777">
      <w:pPr>
        <w:pStyle w:val="Prrafodelista"/>
        <w:numPr>
          <w:ilvl w:val="0"/>
          <w:numId w:val="41"/>
        </w:numPr>
        <w:spacing w:after="0" w:line="360" w:lineRule="auto"/>
        <w:ind w:firstLine="302" w:firstLineChars="126"/>
        <w:jc w:val="both"/>
        <w:rPr>
          <w:rFonts w:cs="Calibri"/>
          <w:sz w:val="24"/>
          <w:szCs w:val="24"/>
          <w:lang w:val="es-CO"/>
        </w:rPr>
      </w:pPr>
      <w:r>
        <w:rPr>
          <w:rFonts w:cs="Calibri"/>
          <w:sz w:val="24"/>
          <w:szCs w:val="24"/>
          <w:lang w:val="es-CO"/>
        </w:rPr>
        <w:t>Efecto erosivo en la cuenca de ríos y quebradas, generando mayores impactos socioambientales.</w:t>
      </w:r>
    </w:p>
    <w:p w:rsidR="00527B8C" w:rsidRDefault="00212A57" w14:paraId="247CC362" w14:textId="77777777">
      <w:pPr>
        <w:pStyle w:val="Prrafodelista"/>
        <w:numPr>
          <w:ilvl w:val="0"/>
          <w:numId w:val="41"/>
        </w:numPr>
        <w:spacing w:after="0" w:line="360" w:lineRule="auto"/>
        <w:ind w:firstLine="302" w:firstLineChars="126"/>
        <w:jc w:val="both"/>
        <w:rPr>
          <w:rFonts w:cs="Calibri"/>
          <w:sz w:val="24"/>
          <w:szCs w:val="24"/>
          <w:lang w:val="es-CO"/>
        </w:rPr>
      </w:pPr>
      <w:r>
        <w:rPr>
          <w:rFonts w:cs="Calibri"/>
          <w:sz w:val="24"/>
          <w:szCs w:val="24"/>
          <w:lang w:val="es-CO"/>
        </w:rPr>
        <w:t>Alteraciones en la morfología fluvial, erosión de orillas y afectaciones a ecosistemas asociados como playas, islas temporales y bosques de galería.</w:t>
      </w:r>
    </w:p>
    <w:p w:rsidR="00527B8C" w:rsidRDefault="00212A57" w14:paraId="61605BF1" w14:textId="77777777">
      <w:pPr>
        <w:pStyle w:val="Prrafodelista"/>
        <w:numPr>
          <w:ilvl w:val="0"/>
          <w:numId w:val="41"/>
        </w:numPr>
        <w:spacing w:after="0" w:line="360" w:lineRule="auto"/>
        <w:ind w:firstLine="302" w:firstLineChars="126"/>
        <w:jc w:val="both"/>
        <w:rPr>
          <w:rFonts w:cs="Calibri"/>
          <w:b/>
          <w:bCs/>
          <w:sz w:val="24"/>
          <w:szCs w:val="24"/>
          <w:lang w:val="es-CO"/>
        </w:rPr>
      </w:pPr>
      <w:r>
        <w:rPr>
          <w:rFonts w:cs="Calibri"/>
          <w:sz w:val="24"/>
          <w:szCs w:val="24"/>
          <w:lang w:val="es-CO"/>
        </w:rPr>
        <w:t>Explotación selectiva del material accesible, en detrimento de la sostenibilidad del yacimiento y los ecosistemas</w:t>
      </w:r>
      <w:r>
        <w:rPr>
          <w:rFonts w:cs="Calibri"/>
          <w:b/>
          <w:bCs/>
          <w:sz w:val="24"/>
          <w:szCs w:val="24"/>
          <w:lang w:val="es-CO"/>
        </w:rPr>
        <w:t>.</w:t>
      </w:r>
    </w:p>
    <w:p w:rsidR="00527B8C" w:rsidRDefault="00212A57" w14:paraId="48B4287B" w14:textId="77777777">
      <w:pPr>
        <w:pStyle w:val="Prrafodelista"/>
        <w:numPr>
          <w:ilvl w:val="0"/>
          <w:numId w:val="41"/>
        </w:numPr>
        <w:spacing w:after="0" w:line="360" w:lineRule="auto"/>
        <w:ind w:firstLine="304" w:firstLineChars="126"/>
        <w:jc w:val="both"/>
        <w:rPr>
          <w:rFonts w:cs="Calibri"/>
          <w:sz w:val="24"/>
          <w:szCs w:val="24"/>
          <w:lang w:val="es-CO"/>
        </w:rPr>
      </w:pPr>
      <w:r>
        <w:rPr>
          <w:rFonts w:cs="Calibri"/>
          <w:b/>
          <w:bCs/>
          <w:sz w:val="24"/>
          <w:szCs w:val="24"/>
          <w:lang w:val="es-CO"/>
        </w:rPr>
        <w:t xml:space="preserve">Riesgos Acumulativos y Conflictos: </w:t>
      </w:r>
      <w:r>
        <w:rPr>
          <w:rFonts w:cs="Calibri"/>
          <w:sz w:val="24"/>
          <w:szCs w:val="24"/>
          <w:lang w:val="es-CO"/>
        </w:rPr>
        <w:t>La extracción se concentra en territorios de alta vulnerabilidad ecológica y social.</w:t>
      </w:r>
    </w:p>
    <w:p w:rsidR="00527B8C" w:rsidRDefault="00212A57" w14:paraId="4281E128" w14:textId="77777777">
      <w:pPr>
        <w:pStyle w:val="Prrafodelista"/>
        <w:numPr>
          <w:ilvl w:val="0"/>
          <w:numId w:val="41"/>
        </w:numPr>
        <w:spacing w:after="0" w:line="360" w:lineRule="auto"/>
        <w:ind w:firstLine="302" w:firstLineChars="126"/>
        <w:jc w:val="both"/>
        <w:rPr>
          <w:rFonts w:cs="Calibri"/>
          <w:sz w:val="24"/>
          <w:szCs w:val="24"/>
          <w:lang w:val="es-CO"/>
        </w:rPr>
      </w:pPr>
      <w:r>
        <w:rPr>
          <w:rFonts w:cs="Calibri"/>
          <w:sz w:val="24"/>
          <w:szCs w:val="24"/>
          <w:lang w:val="es-CO"/>
        </w:rPr>
        <w:t>La concentración de títulos mineros en departamentos como Caquetá y Putumayo amplifica los riesgos de daño ambiental acumulativo, particularmente en cuencas críticas como las del Caquetá, Putumayo e Inírida.</w:t>
      </w:r>
    </w:p>
    <w:p w:rsidR="00527B8C" w:rsidRDefault="00212A57" w14:paraId="0BA799A5" w14:textId="77777777">
      <w:pPr>
        <w:pStyle w:val="Prrafodelista"/>
        <w:numPr>
          <w:ilvl w:val="0"/>
          <w:numId w:val="41"/>
        </w:numPr>
        <w:spacing w:after="0" w:line="360" w:lineRule="auto"/>
        <w:ind w:firstLine="302" w:firstLineChars="126"/>
        <w:jc w:val="both"/>
        <w:rPr>
          <w:rFonts w:cs="Calibri"/>
          <w:sz w:val="24"/>
          <w:szCs w:val="24"/>
          <w:lang w:val="es-CO"/>
        </w:rPr>
      </w:pPr>
      <w:r>
        <w:rPr>
          <w:rFonts w:cs="Calibri"/>
          <w:sz w:val="24"/>
          <w:szCs w:val="24"/>
          <w:lang w:val="es-CO"/>
        </w:rPr>
        <w:t>La actividad intensifica conflictos socioterritoriales, superposiciones con áreas protegidas y territorios étnicos, y presiones sobre la estructura ecológica principal de la región.</w:t>
      </w:r>
    </w:p>
    <w:p w:rsidR="00527B8C" w:rsidRDefault="00212A57" w14:paraId="37BE07D0" w14:textId="77777777">
      <w:pPr>
        <w:spacing w:after="0" w:line="360" w:lineRule="auto"/>
        <w:ind w:firstLine="302" w:firstLineChars="126"/>
        <w:jc w:val="both"/>
        <w:rPr>
          <w:rFonts w:cs="Calibri"/>
          <w:sz w:val="24"/>
          <w:szCs w:val="24"/>
        </w:rPr>
      </w:pPr>
      <w:r>
        <w:rPr>
          <w:rFonts w:asciiTheme="majorHAnsi" w:hAnsiTheme="majorHAnsi" w:eastAsiaTheme="majorEastAsia" w:cstheme="majorBidi"/>
          <w:sz w:val="24"/>
          <w:szCs w:val="24"/>
        </w:rPr>
        <w:t>Por lo cual se debe garantizar la caracterización de los impactos ambientales en los ecosistemas aéreo, acuático, suelo, subsuelo y social deben cuantificarse con valores para que la medición en la evaluación del impacto sea objetiva y se registre en un instrumento de seguimiento y control usando una ma</w:t>
      </w:r>
      <w:r>
        <w:rPr>
          <w:rFonts w:cs="Calibri"/>
          <w:sz w:val="24"/>
          <w:szCs w:val="24"/>
        </w:rPr>
        <w:t>triz de riesgo para cada elemento.</w:t>
      </w:r>
    </w:p>
    <w:p w:rsidR="00527B8C" w:rsidRDefault="00527B8C" w14:paraId="103E8B3C" w14:textId="77777777">
      <w:pPr>
        <w:spacing w:after="0" w:line="360" w:lineRule="auto"/>
        <w:ind w:firstLine="302" w:firstLineChars="126"/>
        <w:jc w:val="both"/>
        <w:rPr>
          <w:rFonts w:cs="Calibri"/>
          <w:sz w:val="24"/>
          <w:szCs w:val="24"/>
        </w:rPr>
      </w:pPr>
    </w:p>
    <w:p w:rsidR="00527B8C" w:rsidRDefault="00212A57" w14:paraId="4A703A03" w14:textId="77777777">
      <w:pPr>
        <w:spacing w:after="0" w:line="360" w:lineRule="auto"/>
        <w:ind w:firstLine="304" w:firstLineChars="126"/>
        <w:jc w:val="both"/>
        <w:rPr>
          <w:rFonts w:cs="Calibri"/>
          <w:sz w:val="24"/>
          <w:szCs w:val="24"/>
          <w:lang w:val="es-CO"/>
        </w:rPr>
      </w:pPr>
      <w:r>
        <w:rPr>
          <w:rFonts w:cs="Calibri"/>
          <w:b/>
          <w:bCs/>
          <w:sz w:val="24"/>
          <w:szCs w:val="24"/>
          <w:lang w:val="es-CO"/>
        </w:rPr>
        <w:t xml:space="preserve">Aire: </w:t>
      </w:r>
      <w:r>
        <w:rPr>
          <w:rFonts w:cs="Calibri"/>
          <w:sz w:val="24"/>
          <w:szCs w:val="24"/>
          <w:lang w:val="es-CO"/>
        </w:rPr>
        <w:t>La extracción aumenta la contaminación por emisiones atmosféricas generando material particulado afecta al ecosistema. La contaminación atmosférica puede provocar una grave degradación ambiental, contaminación de suelos y agua, provocar desequilibrios en los ecosistemas y una reducción de la biodiversidad, dañar directamente plantas, animales y comunidades aledañas lo cual puede contribuir al cambio climático ya sea por episodios cortos de contaminación atmosférica o a una exposición crónica prolongada a la</w:t>
      </w:r>
      <w:r>
        <w:rPr>
          <w:rFonts w:cs="Calibri"/>
          <w:sz w:val="24"/>
          <w:szCs w:val="24"/>
          <w:lang w:val="es-CO"/>
        </w:rPr>
        <w:t xml:space="preserve"> contaminación atmosférica.</w:t>
      </w:r>
      <w:r>
        <w:rPr>
          <w:rStyle w:val="Refdenotaalpie"/>
          <w:rFonts w:cs="Calibri"/>
          <w:sz w:val="24"/>
          <w:szCs w:val="24"/>
          <w:lang w:val="es-CO"/>
        </w:rPr>
        <w:footnoteReference w:id="40"/>
      </w:r>
    </w:p>
    <w:p w:rsidR="00527B8C" w:rsidRDefault="00527B8C" w14:paraId="4E6E6E4A" w14:textId="77777777">
      <w:pPr>
        <w:spacing w:after="0" w:line="360" w:lineRule="auto"/>
        <w:ind w:firstLine="302" w:firstLineChars="126"/>
        <w:jc w:val="both"/>
        <w:rPr>
          <w:rFonts w:cs="Calibri"/>
          <w:sz w:val="24"/>
          <w:szCs w:val="24"/>
          <w:lang w:val="es-CO"/>
        </w:rPr>
      </w:pPr>
    </w:p>
    <w:p w:rsidR="00527B8C" w:rsidRDefault="00212A57" w14:paraId="7D89E79E" w14:textId="77777777">
      <w:pPr>
        <w:spacing w:after="0" w:line="360" w:lineRule="auto"/>
        <w:ind w:firstLine="304" w:firstLineChars="126"/>
        <w:jc w:val="both"/>
        <w:rPr>
          <w:rFonts w:asciiTheme="minorHAnsi" w:hAnsiTheme="minorHAnsi" w:eastAsiaTheme="minorEastAsia"/>
          <w:sz w:val="24"/>
          <w:szCs w:val="24"/>
          <w:lang w:val="es-CO"/>
        </w:rPr>
      </w:pPr>
      <w:r>
        <w:rPr>
          <w:rFonts w:cs="Calibri"/>
          <w:b/>
          <w:bCs/>
          <w:sz w:val="24"/>
          <w:szCs w:val="24"/>
          <w:lang w:val="es-CO"/>
        </w:rPr>
        <w:t xml:space="preserve">Agua: </w:t>
      </w:r>
      <w:r>
        <w:rPr>
          <w:rFonts w:cs="Calibri"/>
          <w:sz w:val="24"/>
          <w:szCs w:val="24"/>
          <w:lang w:val="es-CO"/>
        </w:rPr>
        <w:t>Impactos negativos por la afectación de contaminantes a cuerpos de agua superficiales y subterráneos alterando las propiedades fisicoquímicas, el cauce de los afluentes y pérdida de hábitat acuático. El tránsito por las zonas deforestadas para el aprovechamiento de los recursos causa un efecto de “</w:t>
      </w:r>
      <w:r>
        <w:rPr>
          <w:rFonts w:cs="Calibri"/>
          <w:i/>
          <w:iCs/>
          <w:sz w:val="24"/>
          <w:szCs w:val="24"/>
          <w:lang w:val="es-CO"/>
        </w:rPr>
        <w:t xml:space="preserve">efecto de la erosión por las corrientes de agua lluvia y el viento arrastran materiales ácidos </w:t>
      </w:r>
      <w:r>
        <w:rPr>
          <w:rFonts w:asciiTheme="minorHAnsi" w:hAnsiTheme="minorHAnsi" w:eastAsiaTheme="minorEastAsia"/>
          <w:i/>
          <w:iCs/>
          <w:sz w:val="24"/>
          <w:szCs w:val="24"/>
          <w:lang w:val="es-CO"/>
        </w:rPr>
        <w:t>a las corrientes de los ríos acarreando pérdida total de los ecosistemas y degradación del recurso agua.</w:t>
      </w:r>
      <w:r>
        <w:rPr>
          <w:rFonts w:asciiTheme="minorHAnsi" w:hAnsiTheme="minorHAnsi" w:eastAsiaTheme="minorEastAsia"/>
          <w:sz w:val="24"/>
          <w:szCs w:val="24"/>
          <w:lang w:val="es-CO"/>
        </w:rPr>
        <w:t>”</w:t>
      </w:r>
      <w:r>
        <w:rPr>
          <w:rStyle w:val="Refdenotaalpie"/>
          <w:rFonts w:cs="Calibri"/>
          <w:sz w:val="24"/>
          <w:szCs w:val="24"/>
          <w:lang w:val="es-CO"/>
        </w:rPr>
        <w:footnoteReference w:id="41"/>
      </w:r>
    </w:p>
    <w:p w:rsidR="00527B8C" w:rsidRDefault="00527B8C" w14:paraId="2E879754" w14:textId="77777777">
      <w:pPr>
        <w:spacing w:after="0" w:line="360" w:lineRule="auto"/>
        <w:ind w:firstLine="302" w:firstLineChars="126"/>
        <w:jc w:val="both"/>
        <w:rPr>
          <w:rFonts w:asciiTheme="minorHAnsi" w:hAnsiTheme="minorHAnsi" w:eastAsiaTheme="minorEastAsia"/>
          <w:sz w:val="24"/>
          <w:szCs w:val="24"/>
          <w:lang w:val="es-CO"/>
        </w:rPr>
      </w:pPr>
    </w:p>
    <w:p w:rsidR="00527B8C" w:rsidRDefault="00212A57" w14:paraId="22C53FF8" w14:textId="77777777">
      <w:pPr>
        <w:spacing w:after="0" w:line="360" w:lineRule="auto"/>
        <w:ind w:firstLine="304" w:firstLineChars="126"/>
        <w:jc w:val="both"/>
        <w:rPr>
          <w:rFonts w:cs="Calibri"/>
          <w:sz w:val="24"/>
          <w:szCs w:val="24"/>
          <w:lang w:val="es-CO"/>
        </w:rPr>
      </w:pPr>
      <w:r>
        <w:rPr>
          <w:rFonts w:cs="Calibri"/>
          <w:b/>
          <w:bCs/>
          <w:sz w:val="24"/>
          <w:szCs w:val="24"/>
          <w:lang w:val="es-CO"/>
        </w:rPr>
        <w:t xml:space="preserve">Suelo: </w:t>
      </w:r>
      <w:r>
        <w:rPr>
          <w:rFonts w:cs="Calibri"/>
          <w:sz w:val="24"/>
          <w:szCs w:val="24"/>
          <w:lang w:val="es-CO"/>
        </w:rPr>
        <w:t>La extracción de material de arrastre de piedra, arena, arcilla y otros elementos del cauce de los ríos ha generado alteraciones significativas en el cauce de los mismos, causando riesgo por inundaciones y avalanchas</w:t>
      </w:r>
      <w:r>
        <w:rPr>
          <w:rStyle w:val="Refdenotaalpie"/>
          <w:rFonts w:cs="Calibri"/>
          <w:sz w:val="24"/>
          <w:szCs w:val="24"/>
          <w:lang w:val="es-CO"/>
        </w:rPr>
        <w:footnoteReference w:id="42"/>
      </w:r>
      <w:r>
        <w:rPr>
          <w:rFonts w:cs="Calibri"/>
          <w:sz w:val="24"/>
          <w:szCs w:val="24"/>
          <w:lang w:val="es-CO"/>
        </w:rPr>
        <w:t xml:space="preserve">, afectaciones por residuos sólidos y líquidos como grasas, aceites y combustibles por la maquinaria utilizada alterando las condiciones fisicoquímicas, incrementando la erosión, deforestación y sedimentación masiva, con daños calificados como “irreversibles” en Cartagena del Chairá. </w:t>
      </w:r>
      <w:r>
        <w:rPr>
          <w:rStyle w:val="Refdenotaalpie"/>
          <w:rFonts w:cs="Calibri"/>
          <w:sz w:val="24"/>
          <w:szCs w:val="24"/>
          <w:lang w:val="es-CO"/>
        </w:rPr>
        <w:footnoteReference w:id="43"/>
      </w:r>
    </w:p>
    <w:p w:rsidR="00527B8C" w:rsidRDefault="00527B8C" w14:paraId="0433C764" w14:textId="77777777">
      <w:pPr>
        <w:spacing w:after="0" w:line="360" w:lineRule="auto"/>
        <w:ind w:firstLine="302" w:firstLineChars="126"/>
        <w:jc w:val="both"/>
        <w:rPr>
          <w:rFonts w:cs="Calibri"/>
          <w:sz w:val="24"/>
          <w:szCs w:val="24"/>
          <w:lang w:val="es-CO"/>
        </w:rPr>
      </w:pPr>
    </w:p>
    <w:p w:rsidR="00527B8C" w:rsidRDefault="00212A57" w14:paraId="517506F1" w14:textId="77777777">
      <w:pPr>
        <w:spacing w:after="0" w:line="360" w:lineRule="auto"/>
        <w:ind w:firstLine="304" w:firstLineChars="126"/>
        <w:jc w:val="both"/>
        <w:rPr>
          <w:rFonts w:cs="Calibri"/>
          <w:sz w:val="24"/>
          <w:szCs w:val="24"/>
          <w:lang w:val="es-CO"/>
        </w:rPr>
      </w:pPr>
      <w:r>
        <w:rPr>
          <w:rFonts w:cs="Calibri"/>
          <w:b/>
          <w:bCs/>
          <w:sz w:val="24"/>
          <w:szCs w:val="24"/>
          <w:lang w:val="es-CO"/>
        </w:rPr>
        <w:t xml:space="preserve">Fauna: </w:t>
      </w:r>
      <w:r>
        <w:rPr>
          <w:rFonts w:cs="Calibri"/>
          <w:sz w:val="24"/>
          <w:szCs w:val="24"/>
          <w:lang w:val="es-CO"/>
        </w:rPr>
        <w:t>El proceso de extracción de material de arrastre afecta directamente alterando el equilibrio de ecosistema en zonas de explotación, generando cambios comportamentales causando migraciones alterando el proceso reproductivo de las especies, ya que estas especies cambian de lugar sus sitios de desove y crecimiento. afectando las dinámicas poblacionales incrementando las muertes por desorientación y atropellamiento, la riqueza pesquera también se ha visto impactada, primero porque la contaminación del rio por a</w:t>
      </w:r>
      <w:r>
        <w:rPr>
          <w:rFonts w:cs="Calibri"/>
          <w:sz w:val="24"/>
          <w:szCs w:val="24"/>
          <w:lang w:val="es-CO"/>
        </w:rPr>
        <w:t xml:space="preserve">gentes químicos genera mortandad continua de peces propios de la región afectando a las comunidades las cuales su fuente económica y alimentación. </w:t>
      </w:r>
      <w:r>
        <w:rPr>
          <w:rStyle w:val="Refdenotaalpie"/>
          <w:rFonts w:cs="Calibri"/>
          <w:sz w:val="24"/>
          <w:szCs w:val="24"/>
          <w:lang w:val="es-CO"/>
        </w:rPr>
        <w:footnoteReference w:id="44"/>
      </w:r>
    </w:p>
    <w:p w:rsidR="00527B8C" w:rsidRDefault="00527B8C" w14:paraId="11982D8F" w14:textId="77777777">
      <w:pPr>
        <w:spacing w:after="0" w:line="360" w:lineRule="auto"/>
        <w:ind w:firstLine="302" w:firstLineChars="126"/>
        <w:jc w:val="both"/>
        <w:rPr>
          <w:rFonts w:cs="Calibri"/>
          <w:sz w:val="24"/>
          <w:szCs w:val="24"/>
          <w:lang w:val="es-CO"/>
        </w:rPr>
      </w:pPr>
    </w:p>
    <w:p w:rsidR="00527B8C" w:rsidRDefault="00212A57" w14:paraId="161890E8" w14:textId="77777777">
      <w:pPr>
        <w:spacing w:after="0" w:line="360" w:lineRule="auto"/>
        <w:ind w:firstLine="304" w:firstLineChars="126"/>
        <w:jc w:val="both"/>
        <w:rPr>
          <w:rFonts w:cs="Calibri" w:eastAsiaTheme="minorEastAsia"/>
          <w:sz w:val="24"/>
          <w:szCs w:val="24"/>
          <w:lang w:val="es-CO"/>
        </w:rPr>
      </w:pPr>
      <w:r>
        <w:rPr>
          <w:rFonts w:cs="Calibri"/>
          <w:b/>
          <w:bCs/>
          <w:sz w:val="24"/>
          <w:szCs w:val="24"/>
          <w:lang w:val="es-CO"/>
        </w:rPr>
        <w:t xml:space="preserve">Flora: </w:t>
      </w:r>
      <w:r>
        <w:rPr>
          <w:rFonts w:cs="Calibri"/>
          <w:sz w:val="24"/>
          <w:szCs w:val="24"/>
          <w:lang w:val="es-CO"/>
        </w:rPr>
        <w:t>Los daños y fragmentación de las coberturas vegetales afectan la dispersión de semillas ya sea por acciones del</w:t>
      </w:r>
      <w:r>
        <w:rPr>
          <w:rFonts w:cs="Calibri" w:eastAsiaTheme="minorEastAsia"/>
          <w:sz w:val="24"/>
          <w:szCs w:val="24"/>
          <w:lang w:val="es-CO"/>
        </w:rPr>
        <w:t xml:space="preserve"> viento (anemócora), agua (hidrocoria), animales (zoocoria), gravedad (barocoria) y mecánica/explosiva (autocoria), provocando la perdida de especies endémicas y no endémicas, perdida de dinámicas ecosistémicas, degradación de los suelos, agua y aire. La presencia de estas actividades propicia la entrada de plagas y enfermedades lo cual incrementa las afectaciones. </w:t>
      </w:r>
    </w:p>
    <w:p w:rsidR="00527B8C" w:rsidRDefault="00212A57" w14:paraId="74463CA7" w14:textId="77777777">
      <w:pPr>
        <w:spacing w:after="0" w:line="360" w:lineRule="auto"/>
        <w:ind w:firstLine="302" w:firstLineChars="126"/>
        <w:jc w:val="both"/>
        <w:rPr>
          <w:rFonts w:cs="Calibri"/>
          <w:sz w:val="24"/>
          <w:szCs w:val="24"/>
          <w:lang w:val="es-CO"/>
        </w:rPr>
      </w:pPr>
      <w:r>
        <w:rPr>
          <w:rFonts w:cs="Calibri" w:eastAsiaTheme="minorEastAsia"/>
          <w:sz w:val="24"/>
          <w:szCs w:val="24"/>
          <w:lang w:val="es-CO"/>
        </w:rPr>
        <w:t>Solo en el Putumayo la pérdida de cobertura boscosa en: 166.000 ha entre 2002 y 2022, asociadas a minería y otras actividades extractivas.</w:t>
      </w:r>
      <w:r>
        <w:rPr>
          <w:rStyle w:val="Refdenotaalpie"/>
          <w:rFonts w:cs="Calibri"/>
          <w:sz w:val="24"/>
          <w:szCs w:val="24"/>
          <w:lang w:val="es-CO"/>
        </w:rPr>
        <w:footnoteReference w:id="45"/>
      </w:r>
    </w:p>
    <w:p w:rsidR="00527B8C" w:rsidRDefault="00212A57" w14:paraId="4591C48F" w14:textId="77777777">
      <w:pPr>
        <w:spacing w:after="0" w:line="360" w:lineRule="auto"/>
        <w:ind w:firstLine="302" w:firstLineChars="126"/>
        <w:jc w:val="both"/>
        <w:rPr>
          <w:rFonts w:cs="Calibri" w:eastAsiaTheme="minorEastAsia"/>
          <w:sz w:val="24"/>
          <w:szCs w:val="24"/>
          <w:lang w:val="es-CO"/>
        </w:rPr>
      </w:pPr>
      <w:r>
        <w:rPr>
          <w:rFonts w:cs="Calibri"/>
          <w:sz w:val="24"/>
          <w:szCs w:val="24"/>
          <w:lang w:val="es-CO"/>
        </w:rPr>
        <w:t>El 85% de la Amazonia colombiana un aproximado de 42,7 millones de hectáreas tiene la presencia de bosque tropical</w:t>
      </w:r>
      <w:r>
        <w:rPr>
          <w:rStyle w:val="Refdenotaalpie"/>
          <w:rFonts w:cs="Calibri"/>
          <w:sz w:val="24"/>
          <w:szCs w:val="24"/>
          <w:lang w:val="es-CO"/>
        </w:rPr>
        <w:footnoteReference w:id="46"/>
      </w:r>
      <w:r>
        <w:rPr>
          <w:rFonts w:cs="Calibri"/>
          <w:sz w:val="24"/>
          <w:szCs w:val="24"/>
          <w:lang w:val="es-CO"/>
        </w:rPr>
        <w:t xml:space="preserve">, cambios en los bosques de la Amazonia colombiana entre el año 2018 con una superficie de 39.784.494 ha cambio al año 2020 a </w:t>
      </w:r>
      <w:r>
        <w:rPr>
          <w:rFonts w:cs="Calibri" w:eastAsiaTheme="minorEastAsia"/>
          <w:sz w:val="24"/>
          <w:szCs w:val="24"/>
          <w:lang w:val="es-CO"/>
        </w:rPr>
        <w:t>39.448.655 ha evidenciado una reducción del 0,69% (335.839 ha).</w:t>
      </w:r>
      <w:r>
        <w:rPr>
          <w:rStyle w:val="Refdenotaalpie"/>
          <w:rFonts w:cs="Calibri" w:eastAsiaTheme="minorEastAsia"/>
          <w:sz w:val="24"/>
          <w:szCs w:val="24"/>
          <w:lang w:val="es-CO"/>
        </w:rPr>
        <w:footnoteReference w:id="47"/>
      </w:r>
    </w:p>
    <w:p w:rsidR="00527B8C" w:rsidRDefault="00212A57" w14:paraId="042E7F64" w14:textId="77777777">
      <w:pPr>
        <w:spacing w:after="0" w:line="360" w:lineRule="auto"/>
        <w:ind w:firstLine="304" w:firstLineChars="126"/>
        <w:jc w:val="both"/>
        <w:rPr>
          <w:rFonts w:cs="Calibri"/>
          <w:sz w:val="24"/>
          <w:szCs w:val="24"/>
          <w:lang w:val="es-CO"/>
        </w:rPr>
      </w:pPr>
      <w:r>
        <w:rPr>
          <w:rFonts w:cs="Calibri"/>
          <w:b/>
          <w:bCs/>
          <w:sz w:val="24"/>
          <w:szCs w:val="24"/>
          <w:lang w:val="es-CO"/>
        </w:rPr>
        <w:t xml:space="preserve">Social: </w:t>
      </w:r>
      <w:r>
        <w:rPr>
          <w:rFonts w:cs="Calibri"/>
          <w:sz w:val="24"/>
          <w:szCs w:val="24"/>
          <w:lang w:val="es-CO"/>
        </w:rPr>
        <w:t>La comunidad indígena c</w:t>
      </w:r>
      <w:r>
        <w:rPr>
          <w:rFonts w:cs="Calibri" w:eastAsiaTheme="minorEastAsia"/>
          <w:sz w:val="24"/>
          <w:szCs w:val="24"/>
          <w:lang w:val="es-CO"/>
        </w:rPr>
        <w:t>amëntsá</w:t>
      </w:r>
      <w:r>
        <w:rPr>
          <w:rFonts w:cs="Calibri"/>
          <w:sz w:val="24"/>
          <w:szCs w:val="24"/>
          <w:lang w:val="es-CO"/>
        </w:rPr>
        <w:t xml:space="preserve"> del alto putumayo se encuentra inconforme por la falta de aplicación de la consulta previa en su territorio</w:t>
      </w:r>
      <w:r>
        <w:rPr>
          <w:rStyle w:val="Refdenotaalpie"/>
          <w:rFonts w:cs="Calibri"/>
          <w:sz w:val="24"/>
          <w:szCs w:val="24"/>
          <w:lang w:val="es-CO"/>
        </w:rPr>
        <w:footnoteReference w:id="48"/>
      </w:r>
      <w:r>
        <w:rPr>
          <w:rFonts w:cs="Calibri"/>
          <w:sz w:val="24"/>
          <w:szCs w:val="24"/>
          <w:lang w:val="es-CO"/>
        </w:rPr>
        <w:t xml:space="preserve"> ya que se está violentando el articulo 79 de la Constitución Política Colombiana de 1991, el cual dice que se debe garantizar la participación ciudadana para la toma de decisiones ambientales en el territorio nacional. La comunidad Inga asocia la actividad extractiva a la contaminación de fuentes hídricas y a la reducción de sus caudales.</w:t>
      </w:r>
    </w:p>
    <w:p w:rsidR="00527B8C" w:rsidRDefault="00527B8C" w14:paraId="06D9BFDA" w14:textId="77777777">
      <w:pPr>
        <w:spacing w:after="0" w:line="360" w:lineRule="auto"/>
        <w:ind w:firstLine="302" w:firstLineChars="126"/>
        <w:jc w:val="both"/>
        <w:rPr>
          <w:rFonts w:cs="Calibri"/>
          <w:sz w:val="24"/>
          <w:szCs w:val="24"/>
          <w:lang w:val="es-CO"/>
        </w:rPr>
      </w:pPr>
    </w:p>
    <w:p w:rsidR="00527B8C" w:rsidRDefault="00212A57" w14:paraId="6AA1BB3A" w14:textId="77777777">
      <w:pPr>
        <w:spacing w:after="0" w:line="360" w:lineRule="auto"/>
        <w:ind w:firstLine="302" w:firstLineChars="126"/>
        <w:jc w:val="both"/>
        <w:rPr>
          <w:rFonts w:cs="Calibri"/>
          <w:sz w:val="24"/>
          <w:szCs w:val="24"/>
          <w:lang w:val="es-CO"/>
        </w:rPr>
      </w:pPr>
      <w:r>
        <w:rPr>
          <w:rFonts w:cs="Calibri"/>
          <w:sz w:val="24"/>
          <w:szCs w:val="24"/>
          <w:lang w:val="es-CO"/>
        </w:rPr>
        <w:t>Comunidades indígenas del alto putumayo identificaron 16 sectores de minería donde el material de arrastre es extraído de los ríos San Francisco, San Pedro, Putumayo, Quinchoa, Secayaco y Balsayaco, en Sibundoy y en el humedal de las Darsenas</w:t>
      </w:r>
      <w:r>
        <w:rPr>
          <w:rStyle w:val="Refdenotaalpie"/>
          <w:rFonts w:cs="Calibri"/>
          <w:sz w:val="24"/>
          <w:szCs w:val="24"/>
          <w:lang w:val="es-CO"/>
        </w:rPr>
        <w:footnoteReference w:id="49"/>
      </w:r>
      <w:r>
        <w:rPr>
          <w:rFonts w:cs="Calibri"/>
          <w:sz w:val="24"/>
          <w:szCs w:val="24"/>
          <w:lang w:val="es-CO"/>
        </w:rPr>
        <w:t>, la falta de presencia de entidades como Corpoamazonía en los acuerdos de gobernanza establecidos en conjunto, y sobre la falta de seguimiento y cumplimiento de los acuerdos concernientes a la aplicación de consulta previa en los POMCAS Planes de Ordenación y Manejo de Cuencas Hidrográficas de los municipios del valle y las áreas de reserva.</w:t>
      </w:r>
    </w:p>
    <w:p w:rsidR="00527B8C" w:rsidRDefault="00527B8C" w14:paraId="59988047" w14:textId="77777777">
      <w:pPr>
        <w:spacing w:after="0" w:line="360" w:lineRule="auto"/>
        <w:jc w:val="both"/>
        <w:rPr>
          <w:rFonts w:cs="Calibri"/>
          <w:sz w:val="24"/>
          <w:szCs w:val="24"/>
          <w:lang w:val="es-CO"/>
        </w:rPr>
      </w:pPr>
    </w:p>
    <w:p w:rsidR="00527B8C" w:rsidRDefault="00527B8C" w14:paraId="4A7E0653" w14:textId="77777777">
      <w:pPr>
        <w:spacing w:after="0" w:line="360" w:lineRule="auto"/>
        <w:jc w:val="both"/>
        <w:rPr>
          <w:rFonts w:cs="Calibri"/>
          <w:sz w:val="24"/>
          <w:szCs w:val="24"/>
          <w:lang w:val="es-CO"/>
        </w:rPr>
      </w:pPr>
    </w:p>
    <w:p w:rsidRPr="00397C5E" w:rsidR="00397C5E" w:rsidP="00397C5E" w:rsidRDefault="00397C5E" w14:paraId="5BCBD9A9" w14:textId="0098B687">
      <w:pPr>
        <w:pStyle w:val="Descripcin"/>
        <w:spacing w:after="160"/>
        <w:jc w:val="center"/>
        <w:rPr>
          <w:sz w:val="20"/>
          <w:szCs w:val="20"/>
        </w:rPr>
      </w:pPr>
      <w:bookmarkStart w:name="_Toc216558734" w:id="82"/>
      <w:r w:rsidRPr="00397C5E">
        <w:rPr>
          <w:sz w:val="20"/>
          <w:szCs w:val="20"/>
        </w:rPr>
        <w:t xml:space="preserve">Mapa </w:t>
      </w:r>
      <w:r w:rsidRPr="00397C5E">
        <w:rPr>
          <w:sz w:val="20"/>
          <w:szCs w:val="20"/>
        </w:rPr>
        <w:fldChar w:fldCharType="begin"/>
      </w:r>
      <w:r w:rsidRPr="00397C5E">
        <w:rPr>
          <w:sz w:val="20"/>
          <w:szCs w:val="20"/>
        </w:rPr>
        <w:instrText xml:space="preserve"> SEQ Mapa \* ARABIC </w:instrText>
      </w:r>
      <w:r w:rsidRPr="00397C5E">
        <w:rPr>
          <w:sz w:val="20"/>
          <w:szCs w:val="20"/>
        </w:rPr>
        <w:fldChar w:fldCharType="separate"/>
      </w:r>
      <w:r w:rsidR="00EE79CE">
        <w:rPr>
          <w:noProof/>
          <w:sz w:val="20"/>
          <w:szCs w:val="20"/>
        </w:rPr>
        <w:t>6</w:t>
      </w:r>
      <w:r w:rsidRPr="00397C5E">
        <w:rPr>
          <w:sz w:val="20"/>
          <w:szCs w:val="20"/>
        </w:rPr>
        <w:fldChar w:fldCharType="end"/>
      </w:r>
      <w:r w:rsidRPr="00397C5E">
        <w:rPr>
          <w:sz w:val="20"/>
          <w:szCs w:val="20"/>
        </w:rPr>
        <w:t xml:space="preserve"> Comunidades Indígenas en el Putumayo</w:t>
      </w:r>
      <w:bookmarkEnd w:id="82"/>
    </w:p>
    <w:p w:rsidRPr="00397C5E" w:rsidR="00527B8C" w:rsidP="00397C5E" w:rsidRDefault="00212A57" w14:paraId="38B33A92" w14:textId="03F34EFB">
      <w:pPr>
        <w:spacing w:after="0" w:line="360" w:lineRule="auto"/>
        <w:jc w:val="center"/>
        <w:rPr>
          <w:rFonts w:cs="Calibri"/>
          <w:i/>
          <w:iCs/>
          <w:sz w:val="20"/>
          <w:szCs w:val="20"/>
        </w:rPr>
      </w:pPr>
      <w:r>
        <w:rPr>
          <w:rFonts w:cs="Calibri"/>
          <w:i/>
          <w:iCs/>
          <w:noProof/>
          <w:sz w:val="24"/>
          <w:szCs w:val="24"/>
        </w:rPr>
        <w:drawing>
          <wp:inline distT="0" distB="0" distL="0" distR="0" wp14:anchorId="5C349E18" wp14:editId="69A1E9F0">
            <wp:extent cx="5486400" cy="3838575"/>
            <wp:effectExtent l="38100" t="38100" r="38100" b="38100"/>
            <wp:docPr id="420569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56977" name="drawing"/>
                    <pic:cNvPicPr>
                      <a:picLocks noChangeAspect="1"/>
                    </pic:cNvPicPr>
                  </pic:nvPicPr>
                  <pic:blipFill>
                    <a:blip r:embed="rId27"/>
                    <a:stretch>
                      <a:fillRect/>
                    </a:stretch>
                  </pic:blipFill>
                  <pic:spPr>
                    <a:xfrm>
                      <a:off x="0" y="0"/>
                      <a:ext cx="5486400" cy="3838575"/>
                    </a:xfrm>
                    <a:prstGeom prst="rect">
                      <a:avLst/>
                    </a:prstGeom>
                    <a:ln w="38100">
                      <a:solidFill>
                        <a:srgbClr val="002060"/>
                      </a:solidFill>
                      <a:prstDash val="solid"/>
                    </a:ln>
                  </pic:spPr>
                </pic:pic>
              </a:graphicData>
            </a:graphic>
          </wp:inline>
        </w:drawing>
      </w:r>
      <w:r w:rsidRPr="00397C5E">
        <w:rPr>
          <w:rFonts w:cs="Calibri"/>
          <w:i/>
          <w:iCs/>
          <w:sz w:val="20"/>
          <w:szCs w:val="20"/>
        </w:rPr>
        <w:t xml:space="preserve"> </w:t>
      </w:r>
      <w:r w:rsidRPr="00397C5E">
        <w:rPr>
          <w:rFonts w:cs="Calibri"/>
          <w:i/>
          <w:iCs/>
          <w:sz w:val="20"/>
          <w:szCs w:val="20"/>
          <w:lang w:val="es-CO"/>
        </w:rPr>
        <w:t xml:space="preserve">Fuente: Sistema de Información Ambiental Territorial de la Amazonía Colombiana </w:t>
      </w:r>
      <w:r w:rsidRPr="00397C5E">
        <w:rPr>
          <w:rFonts w:cs="Calibri"/>
          <w:i/>
          <w:iCs/>
          <w:sz w:val="20"/>
          <w:szCs w:val="20"/>
        </w:rPr>
        <w:t>SIAT-AC</w:t>
      </w:r>
    </w:p>
    <w:p w:rsidR="00397C5E" w:rsidRDefault="00397C5E" w14:paraId="0DA12859" w14:textId="77777777">
      <w:pPr>
        <w:pStyle w:val="Ttulo3"/>
        <w:spacing w:line="360" w:lineRule="auto"/>
        <w:jc w:val="both"/>
        <w:rPr>
          <w:rFonts w:ascii="Calibri" w:hAnsi="Calibri" w:cs="Calibri"/>
          <w:sz w:val="24"/>
          <w:szCs w:val="24"/>
          <w:lang w:val="es-CO"/>
        </w:rPr>
      </w:pPr>
    </w:p>
    <w:p w:rsidR="00527B8C" w:rsidRDefault="00212A57" w14:paraId="4EDAB4E7" w14:textId="7EEAB7FC">
      <w:pPr>
        <w:pStyle w:val="Ttulo3"/>
        <w:spacing w:line="360" w:lineRule="auto"/>
        <w:jc w:val="both"/>
        <w:rPr>
          <w:rFonts w:ascii="Calibri" w:hAnsi="Calibri" w:cs="Calibri"/>
          <w:sz w:val="24"/>
          <w:szCs w:val="24"/>
          <w:lang w:val="es-CO"/>
        </w:rPr>
      </w:pPr>
      <w:bookmarkStart w:name="_Toc2016810707" w:id="1140161581"/>
      <w:r w:rsidRPr="53DEF7DD" w:rsidR="670101B5">
        <w:rPr>
          <w:rFonts w:ascii="Calibri" w:hAnsi="Calibri" w:cs="Calibri"/>
          <w:sz w:val="24"/>
          <w:szCs w:val="24"/>
          <w:lang w:val="es-CO"/>
        </w:rPr>
        <w:t>5.3.1. Impactos ecológicos y geomorfológicos</w:t>
      </w:r>
      <w:bookmarkEnd w:id="1140161581"/>
    </w:p>
    <w:p w:rsidR="00397C5E" w:rsidRDefault="00397C5E" w14:paraId="59C4E450" w14:textId="77777777">
      <w:pPr>
        <w:spacing w:after="0" w:line="360" w:lineRule="auto"/>
        <w:ind w:firstLine="302" w:firstLineChars="126"/>
        <w:jc w:val="both"/>
        <w:rPr>
          <w:rFonts w:cs="Calibri"/>
          <w:sz w:val="24"/>
          <w:szCs w:val="24"/>
          <w:lang w:val="es-CO"/>
        </w:rPr>
      </w:pPr>
    </w:p>
    <w:p w:rsidR="00527B8C" w:rsidRDefault="00212A57" w14:paraId="375ACECC" w14:textId="7A95A416">
      <w:pPr>
        <w:spacing w:after="0" w:line="360" w:lineRule="auto"/>
        <w:ind w:firstLine="302" w:firstLineChars="126"/>
        <w:jc w:val="both"/>
        <w:rPr>
          <w:rFonts w:cs="Calibri"/>
          <w:sz w:val="24"/>
          <w:szCs w:val="24"/>
          <w:lang w:val="es-CO"/>
        </w:rPr>
      </w:pPr>
      <w:r>
        <w:rPr>
          <w:rFonts w:cs="Calibri"/>
          <w:sz w:val="24"/>
          <w:szCs w:val="24"/>
          <w:lang w:val="es-CO"/>
        </w:rPr>
        <w:t>La interrupción del transporte natural de sedimentos por presas, minería y deforestación genera una serie de impactos críticos en la Amazonía. Entre ellos se destacan la inestabilidad del cauce, la erosión acelerada y la pérdida de hábitats acuáticos, lo que conduce a una disminución significativa de la biodiversidad. Además, el retroceso de deltas y playas afecta tanto a comunidades humanas como a ecosistemas costeros, alterando la conectividad fluvial y los ciclos biogeoquímicos que sostienen la productiv</w:t>
      </w:r>
      <w:r>
        <w:rPr>
          <w:rFonts w:cs="Calibri"/>
          <w:sz w:val="24"/>
          <w:szCs w:val="24"/>
          <w:lang w:val="es-CO"/>
        </w:rPr>
        <w:t>idad primaria.</w:t>
      </w:r>
    </w:p>
    <w:p w:rsidR="00527B8C" w:rsidRDefault="00212A57" w14:paraId="31BC2986" w14:textId="77777777">
      <w:pPr>
        <w:spacing w:after="0" w:line="360" w:lineRule="auto"/>
        <w:ind w:firstLine="302" w:firstLineChars="126"/>
        <w:jc w:val="both"/>
        <w:rPr>
          <w:rFonts w:cs="Calibri"/>
          <w:sz w:val="24"/>
          <w:szCs w:val="24"/>
          <w:lang w:val="es-CO"/>
        </w:rPr>
      </w:pPr>
      <w:r>
        <w:rPr>
          <w:rFonts w:cs="Calibri"/>
          <w:sz w:val="24"/>
          <w:szCs w:val="24"/>
          <w:lang w:val="es-CO"/>
        </w:rPr>
        <w:t>En la Amazonía, estos procesos se intensifican debido a la alta dependencia de los sistemas fluviales para la reproducción de peces migratorios y la provisión de servicios ecosistémicos. La fragmentación del régimen sedimentario compromete la resiliencia del bioma amazónico frente al cambio climático y la presión antrópica.</w:t>
      </w:r>
    </w:p>
    <w:p w:rsidR="00397C5E" w:rsidP="00397C5E" w:rsidRDefault="00397C5E" w14:paraId="5E962AB9" w14:textId="77777777">
      <w:pPr>
        <w:pStyle w:val="Descripcin"/>
      </w:pPr>
    </w:p>
    <w:p w:rsidRPr="00397C5E" w:rsidR="00527B8C" w:rsidP="00397C5E" w:rsidRDefault="00397C5E" w14:paraId="1A91C31D" w14:textId="6781B1A5">
      <w:pPr>
        <w:pStyle w:val="Descripcin"/>
        <w:jc w:val="center"/>
        <w:rPr>
          <w:rFonts w:cs="Calibri"/>
          <w:sz w:val="20"/>
          <w:szCs w:val="20"/>
          <w:lang w:val="es-CO"/>
        </w:rPr>
      </w:pPr>
      <w:bookmarkStart w:name="_Toc216514450" w:id="84"/>
      <w:r w:rsidRPr="00397C5E">
        <w:rPr>
          <w:sz w:val="20"/>
          <w:szCs w:val="20"/>
        </w:rPr>
        <w:t xml:space="preserve">Gráfico </w:t>
      </w:r>
      <w:r w:rsidRPr="00397C5E">
        <w:rPr>
          <w:sz w:val="20"/>
          <w:szCs w:val="20"/>
        </w:rPr>
        <w:fldChar w:fldCharType="begin"/>
      </w:r>
      <w:r w:rsidRPr="00397C5E">
        <w:rPr>
          <w:sz w:val="20"/>
          <w:szCs w:val="20"/>
        </w:rPr>
        <w:instrText xml:space="preserve"> SEQ Gráfico \* ARABIC </w:instrText>
      </w:r>
      <w:r w:rsidRPr="00397C5E">
        <w:rPr>
          <w:sz w:val="20"/>
          <w:szCs w:val="20"/>
        </w:rPr>
        <w:fldChar w:fldCharType="separate"/>
      </w:r>
      <w:r w:rsidR="00EE79CE">
        <w:rPr>
          <w:noProof/>
          <w:sz w:val="20"/>
          <w:szCs w:val="20"/>
        </w:rPr>
        <w:t>6</w:t>
      </w:r>
      <w:r w:rsidRPr="00397C5E">
        <w:rPr>
          <w:sz w:val="20"/>
          <w:szCs w:val="20"/>
        </w:rPr>
        <w:fldChar w:fldCharType="end"/>
      </w:r>
      <w:r w:rsidRPr="00397C5E">
        <w:rPr>
          <w:sz w:val="20"/>
          <w:szCs w:val="20"/>
        </w:rPr>
        <w:t xml:space="preserve"> Mapa conceptual: Riesgos por alteración del régimen sedimentario</w:t>
      </w:r>
      <w:bookmarkEnd w:id="84"/>
    </w:p>
    <w:p w:rsidR="00527B8C" w:rsidP="00397C5E" w:rsidRDefault="00212A57" w14:paraId="6E7B3B3E" w14:textId="62B01AF5">
      <w:pPr>
        <w:spacing w:after="0" w:line="360" w:lineRule="auto"/>
        <w:jc w:val="center"/>
        <w:rPr>
          <w:rFonts w:cs="Calibri"/>
          <w:i/>
          <w:iCs/>
          <w:sz w:val="24"/>
          <w:szCs w:val="24"/>
        </w:rPr>
      </w:pPr>
      <w:r>
        <w:rPr>
          <w:noProof/>
        </w:rPr>
        <w:drawing>
          <wp:inline distT="0" distB="0" distL="0" distR="0" wp14:anchorId="0398999F" wp14:editId="676561CD">
            <wp:extent cx="5082375" cy="2322576"/>
            <wp:effectExtent l="0" t="0" r="4445" b="1905"/>
            <wp:docPr id="6384352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435272" name="Picture 1"/>
                    <pic:cNvPicPr>
                      <a:picLocks noChangeAspect="1"/>
                    </pic:cNvPicPr>
                  </pic:nvPicPr>
                  <pic:blipFill rotWithShape="1">
                    <a:blip r:embed="rId28"/>
                    <a:srcRect t="10717" b="20738"/>
                    <a:stretch/>
                  </pic:blipFill>
                  <pic:spPr bwMode="auto">
                    <a:xfrm>
                      <a:off x="0" y="0"/>
                      <a:ext cx="5091138" cy="2326581"/>
                    </a:xfrm>
                    <a:prstGeom prst="rect">
                      <a:avLst/>
                    </a:prstGeom>
                    <a:ln>
                      <a:noFill/>
                    </a:ln>
                    <a:extLst>
                      <a:ext uri="{53640926-AAD7-44D8-BBD7-CCE9431645EC}">
                        <a14:shadowObscured xmlns:a14="http://schemas.microsoft.com/office/drawing/2010/main"/>
                      </a:ext>
                    </a:extLst>
                  </pic:spPr>
                </pic:pic>
              </a:graphicData>
            </a:graphic>
          </wp:inline>
        </w:drawing>
      </w:r>
    </w:p>
    <w:p w:rsidRPr="00397C5E" w:rsidR="00527B8C" w:rsidP="00397C5E" w:rsidRDefault="00212A57" w14:paraId="089CA8CC" w14:textId="1B1DBB0B">
      <w:pPr>
        <w:spacing w:after="0" w:line="360" w:lineRule="auto"/>
        <w:jc w:val="center"/>
        <w:rPr>
          <w:rFonts w:cs="Calibri"/>
          <w:i/>
          <w:iCs/>
          <w:sz w:val="20"/>
          <w:szCs w:val="20"/>
        </w:rPr>
      </w:pPr>
      <w:r w:rsidRPr="00397C5E">
        <w:rPr>
          <w:rFonts w:cs="Calibri"/>
          <w:i/>
          <w:iCs/>
          <w:sz w:val="20"/>
          <w:szCs w:val="20"/>
        </w:rPr>
        <w:t xml:space="preserve">Fuente: </w:t>
      </w:r>
      <w:r w:rsidR="00397C5E">
        <w:rPr>
          <w:rFonts w:cs="Calibri"/>
          <w:i/>
          <w:iCs/>
          <w:sz w:val="20"/>
          <w:szCs w:val="20"/>
        </w:rPr>
        <w:t xml:space="preserve">Elaboración propia </w:t>
      </w:r>
      <w:r w:rsidRPr="00397C5E">
        <w:rPr>
          <w:rFonts w:cs="Calibri"/>
          <w:i/>
          <w:iCs/>
          <w:sz w:val="20"/>
          <w:szCs w:val="20"/>
        </w:rPr>
        <w:t>Sala de Monitoreo.</w:t>
      </w:r>
    </w:p>
    <w:p w:rsidR="00397C5E" w:rsidP="00397C5E" w:rsidRDefault="00397C5E" w14:paraId="20D38BC0" w14:textId="77777777">
      <w:pPr>
        <w:pStyle w:val="Descripcin"/>
        <w:jc w:val="center"/>
        <w:rPr>
          <w:sz w:val="20"/>
          <w:szCs w:val="20"/>
        </w:rPr>
      </w:pPr>
    </w:p>
    <w:p w:rsidRPr="00397C5E" w:rsidR="00527B8C" w:rsidP="00397C5E" w:rsidRDefault="00397C5E" w14:paraId="27A0167F" w14:textId="5557B761">
      <w:pPr>
        <w:pStyle w:val="Descripcin"/>
        <w:jc w:val="center"/>
        <w:rPr>
          <w:sz w:val="20"/>
          <w:szCs w:val="20"/>
          <w:lang w:val="es-CO"/>
        </w:rPr>
      </w:pPr>
      <w:bookmarkStart w:name="_Toc216514451" w:id="85"/>
      <w:r w:rsidRPr="00397C5E">
        <w:rPr>
          <w:sz w:val="20"/>
          <w:szCs w:val="20"/>
        </w:rPr>
        <w:t xml:space="preserve">Gráfico </w:t>
      </w:r>
      <w:r w:rsidRPr="00397C5E">
        <w:rPr>
          <w:sz w:val="20"/>
          <w:szCs w:val="20"/>
        </w:rPr>
        <w:fldChar w:fldCharType="begin"/>
      </w:r>
      <w:r w:rsidRPr="00397C5E">
        <w:rPr>
          <w:sz w:val="20"/>
          <w:szCs w:val="20"/>
        </w:rPr>
        <w:instrText xml:space="preserve"> SEQ Gráfico \* ARABIC </w:instrText>
      </w:r>
      <w:r w:rsidRPr="00397C5E">
        <w:rPr>
          <w:sz w:val="20"/>
          <w:szCs w:val="20"/>
        </w:rPr>
        <w:fldChar w:fldCharType="separate"/>
      </w:r>
      <w:r w:rsidR="00EE79CE">
        <w:rPr>
          <w:noProof/>
          <w:sz w:val="20"/>
          <w:szCs w:val="20"/>
        </w:rPr>
        <w:t>7</w:t>
      </w:r>
      <w:r w:rsidRPr="00397C5E">
        <w:rPr>
          <w:sz w:val="20"/>
          <w:szCs w:val="20"/>
        </w:rPr>
        <w:fldChar w:fldCharType="end"/>
      </w:r>
      <w:r w:rsidRPr="00397C5E">
        <w:rPr>
          <w:sz w:val="20"/>
          <w:szCs w:val="20"/>
        </w:rPr>
        <w:t xml:space="preserve"> Diagrama de procesos de alteración del régimen sedimentario.</w:t>
      </w:r>
      <w:bookmarkEnd w:id="85"/>
    </w:p>
    <w:p w:rsidR="00527B8C" w:rsidP="00397C5E" w:rsidRDefault="00212A57" w14:paraId="438BC84C" w14:textId="4B6669CE">
      <w:pPr>
        <w:spacing w:after="0" w:line="360" w:lineRule="auto"/>
        <w:jc w:val="center"/>
        <w:rPr>
          <w:rFonts w:cs="Calibri"/>
          <w:sz w:val="24"/>
          <w:szCs w:val="24"/>
        </w:rPr>
      </w:pPr>
      <w:r>
        <w:rPr>
          <w:noProof/>
        </w:rPr>
        <w:drawing>
          <wp:inline distT="0" distB="0" distL="0" distR="0" wp14:anchorId="068BDD70" wp14:editId="55285432">
            <wp:extent cx="5706800" cy="2615184"/>
            <wp:effectExtent l="0" t="0" r="8255" b="0"/>
            <wp:docPr id="11777681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768128" name="Picture 2"/>
                    <pic:cNvPicPr>
                      <a:picLocks noChangeAspect="1"/>
                    </pic:cNvPicPr>
                  </pic:nvPicPr>
                  <pic:blipFill rotWithShape="1">
                    <a:blip r:embed="rId29"/>
                    <a:srcRect t="11091" b="20170"/>
                    <a:stretch/>
                  </pic:blipFill>
                  <pic:spPr bwMode="auto">
                    <a:xfrm>
                      <a:off x="0" y="0"/>
                      <a:ext cx="5711110" cy="2617159"/>
                    </a:xfrm>
                    <a:prstGeom prst="rect">
                      <a:avLst/>
                    </a:prstGeom>
                    <a:ln>
                      <a:noFill/>
                    </a:ln>
                    <a:extLst>
                      <a:ext uri="{53640926-AAD7-44D8-BBD7-CCE9431645EC}">
                        <a14:shadowObscured xmlns:a14="http://schemas.microsoft.com/office/drawing/2010/main"/>
                      </a:ext>
                    </a:extLst>
                  </pic:spPr>
                </pic:pic>
              </a:graphicData>
            </a:graphic>
          </wp:inline>
        </w:drawing>
      </w:r>
    </w:p>
    <w:p w:rsidRPr="00397C5E" w:rsidR="00397C5E" w:rsidP="00397C5E" w:rsidRDefault="00397C5E" w14:paraId="4DE9EBAB" w14:textId="77777777">
      <w:pPr>
        <w:spacing w:after="0" w:line="360" w:lineRule="auto"/>
        <w:jc w:val="center"/>
        <w:rPr>
          <w:rFonts w:cs="Calibri"/>
          <w:i/>
          <w:iCs/>
          <w:sz w:val="20"/>
          <w:szCs w:val="20"/>
        </w:rPr>
      </w:pPr>
      <w:r w:rsidRPr="00397C5E">
        <w:rPr>
          <w:rFonts w:cs="Calibri"/>
          <w:i/>
          <w:iCs/>
          <w:sz w:val="20"/>
          <w:szCs w:val="20"/>
        </w:rPr>
        <w:t xml:space="preserve">Fuente: </w:t>
      </w:r>
      <w:r>
        <w:rPr>
          <w:rFonts w:cs="Calibri"/>
          <w:i/>
          <w:iCs/>
          <w:sz w:val="20"/>
          <w:szCs w:val="20"/>
        </w:rPr>
        <w:t xml:space="preserve">Elaboración propia </w:t>
      </w:r>
      <w:r w:rsidRPr="00397C5E">
        <w:rPr>
          <w:rFonts w:cs="Calibri"/>
          <w:i/>
          <w:iCs/>
          <w:sz w:val="20"/>
          <w:szCs w:val="20"/>
        </w:rPr>
        <w:t>Sala de Monitoreo.</w:t>
      </w:r>
    </w:p>
    <w:p w:rsidRPr="00397C5E" w:rsidR="00527B8C" w:rsidRDefault="00527B8C" w14:paraId="019E44B8" w14:textId="77777777">
      <w:pPr>
        <w:spacing w:after="0" w:line="360" w:lineRule="auto"/>
        <w:jc w:val="both"/>
        <w:rPr>
          <w:rFonts w:cs="Calibri"/>
          <w:b/>
          <w:bCs/>
          <w:sz w:val="24"/>
          <w:szCs w:val="24"/>
        </w:rPr>
      </w:pPr>
    </w:p>
    <w:p w:rsidR="00527B8C" w:rsidRDefault="00212A57" w14:paraId="2FBEEB69" w14:textId="77777777">
      <w:pPr>
        <w:pStyle w:val="Ttulo3"/>
        <w:spacing w:line="360" w:lineRule="auto"/>
        <w:jc w:val="both"/>
        <w:rPr>
          <w:sz w:val="24"/>
          <w:szCs w:val="24"/>
          <w:lang w:val="es-CO"/>
        </w:rPr>
      </w:pPr>
      <w:bookmarkStart w:name="_Toc584200754" w:id="1770905105"/>
      <w:r w:rsidRPr="53DEF7DD" w:rsidR="670101B5">
        <w:rPr>
          <w:sz w:val="24"/>
          <w:szCs w:val="24"/>
          <w:lang w:val="es-CO"/>
        </w:rPr>
        <w:t>5.3.2. Impactos Socioambientales</w:t>
      </w:r>
      <w:bookmarkEnd w:id="1770905105"/>
    </w:p>
    <w:p w:rsidR="00527B8C" w:rsidRDefault="00212A57" w14:paraId="4A59E733" w14:textId="77777777">
      <w:pPr>
        <w:spacing w:before="300" w:after="300" w:line="360" w:lineRule="auto"/>
        <w:ind w:firstLine="302" w:firstLineChars="126"/>
        <w:jc w:val="both"/>
        <w:rPr>
          <w:rFonts w:cs="Calibri"/>
          <w:sz w:val="24"/>
          <w:szCs w:val="24"/>
          <w:lang w:val="es-CO"/>
        </w:rPr>
      </w:pPr>
      <w:r>
        <w:rPr>
          <w:rFonts w:cs="Calibri"/>
          <w:sz w:val="24"/>
          <w:szCs w:val="24"/>
          <w:lang w:val="es-CO"/>
        </w:rPr>
        <w:t>La extracción de arenas y gravas en cauces, así como de arcillas y calizas en canteras, genera presiones significativas sobre los suelos, el agua y la biodiversidad, además de conflictos por el uso del suelo. En la Amazonía colombiana, estas actividades se desarrollan principalmente en áreas cercanas a ríos como el Caquetá, Guaviare, Putumayo y Guainía, y en zonas de frontera con Perú y Brasil, donde la presencia estatal es limitada y la informalidad predomina.</w:t>
      </w:r>
    </w:p>
    <w:p w:rsidR="00527B8C" w:rsidRDefault="00212A57" w14:paraId="76075C83" w14:textId="478A88E0">
      <w:pPr>
        <w:spacing w:before="300" w:after="300" w:line="360" w:lineRule="auto"/>
        <w:ind w:firstLine="302" w:firstLineChars="126"/>
        <w:jc w:val="both"/>
        <w:rPr>
          <w:rFonts w:cs="Calibri"/>
          <w:sz w:val="24"/>
          <w:szCs w:val="24"/>
          <w:lang w:val="es-CO"/>
        </w:rPr>
      </w:pPr>
      <w:r>
        <w:rPr>
          <w:rFonts w:cs="Calibri"/>
          <w:sz w:val="24"/>
          <w:szCs w:val="24"/>
          <w:lang w:val="es-CO"/>
        </w:rPr>
        <w:t>Estas actividades pueden estar relacionada directamente con el crecimiento económico, donde las poblaciones en los territorios demandan materias primas tales como materiales de construcción y explotación de minerales para su desarrollo económico. Además, la minería en Colombia ha venido tomando fuerza durante los últimos años, debido a que es la principal fuente de inversión extranjera</w:t>
      </w:r>
      <w:r w:rsidR="00397C5E">
        <w:rPr>
          <w:rFonts w:cs="Calibri"/>
          <w:sz w:val="24"/>
          <w:szCs w:val="24"/>
          <w:lang w:val="es-CO"/>
        </w:rPr>
        <w:t>.</w:t>
      </w:r>
      <w:r>
        <w:rPr>
          <w:rStyle w:val="Refdenotaalpie"/>
          <w:rFonts w:cs="Calibri"/>
          <w:sz w:val="24"/>
          <w:szCs w:val="24"/>
          <w:lang w:val="es-CO"/>
        </w:rPr>
        <w:footnoteReference w:id="50"/>
      </w:r>
    </w:p>
    <w:p w:rsidR="00397C5E" w:rsidRDefault="00397C5E" w14:paraId="4B791A33" w14:textId="77777777">
      <w:pPr>
        <w:pStyle w:val="Ttulo4"/>
        <w:spacing w:line="360" w:lineRule="auto"/>
        <w:jc w:val="both"/>
        <w:rPr>
          <w:sz w:val="24"/>
          <w:szCs w:val="24"/>
          <w:lang w:val="es-CO"/>
        </w:rPr>
      </w:pPr>
    </w:p>
    <w:p w:rsidR="53DEF7DD" w:rsidP="53DEF7DD" w:rsidRDefault="53DEF7DD" w14:paraId="463A7B7E" w14:textId="5B5F391A">
      <w:pPr>
        <w:pStyle w:val="Normal"/>
        <w:rPr>
          <w:lang w:val="es-CO"/>
        </w:rPr>
      </w:pPr>
    </w:p>
    <w:p w:rsidR="00527B8C" w:rsidRDefault="00212A57" w14:paraId="137512F7" w14:textId="28B1E3B3">
      <w:pPr>
        <w:pStyle w:val="Ttulo4"/>
        <w:spacing w:line="360" w:lineRule="auto"/>
        <w:jc w:val="both"/>
        <w:rPr>
          <w:sz w:val="24"/>
          <w:szCs w:val="24"/>
          <w:lang w:val="es-CO"/>
        </w:rPr>
      </w:pPr>
      <w:bookmarkStart w:name="_Toc1803366976" w:id="1778105558"/>
      <w:r w:rsidRPr="53DEF7DD" w:rsidR="670101B5">
        <w:rPr>
          <w:sz w:val="24"/>
          <w:szCs w:val="24"/>
          <w:lang w:val="es-CO"/>
        </w:rPr>
        <w:t>5.3.2.1. Estudios de caso:</w:t>
      </w:r>
      <w:bookmarkEnd w:id="1778105558"/>
    </w:p>
    <w:p w:rsidR="00527B8C" w:rsidRDefault="00527B8C" w14:paraId="0D654D7F" w14:textId="77777777">
      <w:pPr>
        <w:rPr>
          <w:lang w:val="es-CO"/>
        </w:rPr>
      </w:pPr>
    </w:p>
    <w:p w:rsidR="00527B8C" w:rsidRDefault="00212A57" w14:paraId="025ACAB8" w14:textId="77777777">
      <w:pPr>
        <w:spacing w:after="0" w:line="360" w:lineRule="auto"/>
        <w:ind w:firstLine="302" w:firstLineChars="126"/>
        <w:jc w:val="both"/>
        <w:rPr>
          <w:rFonts w:cs="Calibri"/>
          <w:sz w:val="24"/>
          <w:szCs w:val="24"/>
          <w:lang w:val="es-CO"/>
        </w:rPr>
      </w:pPr>
      <w:r>
        <w:rPr>
          <w:rFonts w:cs="Calibri"/>
          <w:sz w:val="24"/>
          <w:szCs w:val="24"/>
          <w:lang w:val="es-CO"/>
        </w:rPr>
        <w:t>El Instituto Sinchi, en 2024, realizó dos investigaciones sobre los conflictos socioambientales relacionados con la explotación de materiales de arrastre en la región amazónica, uno en las cuencas del río San Pedro y San Francisco en el Alto Putumayo y, el otro, en el Río Guaviare en los territorios de los resguardos indígenas del Refugio, La Fuga y Barrancón. Estos dos estudios de caso recogen, de manera particular, escenarios que representan una alerta para los demás departamentos de la región donde se pr</w:t>
      </w:r>
      <w:r>
        <w:rPr>
          <w:rFonts w:cs="Calibri"/>
          <w:sz w:val="24"/>
          <w:szCs w:val="24"/>
          <w:lang w:val="es-CO"/>
        </w:rPr>
        <w:t>esentan actividades relacionas con la explotación de material de arrastre, permitiendo identificar los principales impactos de estas actividades en una zona tan sensible en aspectos socioambientales como es la Amazonía colombiana.</w:t>
      </w:r>
    </w:p>
    <w:p w:rsidR="00527B8C" w:rsidRDefault="00527B8C" w14:paraId="701FB68E" w14:textId="77777777">
      <w:pPr>
        <w:spacing w:after="0" w:line="360" w:lineRule="auto"/>
        <w:ind w:firstLine="302" w:firstLineChars="126"/>
        <w:jc w:val="both"/>
        <w:rPr>
          <w:rFonts w:cs="Calibri"/>
          <w:sz w:val="24"/>
          <w:szCs w:val="24"/>
          <w:lang w:val="es-CO"/>
        </w:rPr>
      </w:pPr>
    </w:p>
    <w:p w:rsidR="00527B8C" w:rsidRDefault="00212A57" w14:paraId="0BAB4AE5" w14:textId="77777777">
      <w:pPr>
        <w:spacing w:after="0" w:line="360" w:lineRule="auto"/>
        <w:ind w:firstLine="302" w:firstLineChars="126"/>
        <w:jc w:val="both"/>
        <w:rPr>
          <w:rFonts w:cs="Calibri"/>
          <w:sz w:val="24"/>
          <w:szCs w:val="24"/>
          <w:lang w:val="es-CO"/>
        </w:rPr>
      </w:pPr>
      <w:r>
        <w:rPr>
          <w:rFonts w:cs="Calibri"/>
          <w:sz w:val="24"/>
          <w:szCs w:val="24"/>
          <w:lang w:val="es-CO"/>
        </w:rPr>
        <w:t>De acuerdo con estas investigaciones, se han configurado escenarios de deterioro ambiental y conflictividad social que afectan profundamente a las comunidades locales. En los dos contextos analizados, las comunidades indígenas, campesinas y ribereñas han evidenciado transformaciones significativas de sus entornos físicos y de sus prácticas tradicionales, atribuidas al incremento de actividades extractivas tanto formales como informales.</w:t>
      </w:r>
    </w:p>
    <w:p w:rsidR="00527B8C" w:rsidRDefault="00527B8C" w14:paraId="4564ED8F" w14:textId="77777777">
      <w:pPr>
        <w:spacing w:after="0" w:line="360" w:lineRule="auto"/>
        <w:ind w:firstLine="302" w:firstLineChars="126"/>
        <w:jc w:val="both"/>
        <w:rPr>
          <w:rFonts w:cs="Calibri"/>
          <w:sz w:val="24"/>
          <w:szCs w:val="24"/>
          <w:lang w:val="es-CO"/>
        </w:rPr>
      </w:pPr>
    </w:p>
    <w:p w:rsidR="00527B8C" w:rsidRDefault="00212A57" w14:paraId="4BFA73E5" w14:textId="77777777">
      <w:pPr>
        <w:spacing w:after="0" w:line="360" w:lineRule="auto"/>
        <w:ind w:firstLine="302" w:firstLineChars="126"/>
        <w:jc w:val="both"/>
        <w:rPr>
          <w:rFonts w:cs="Calibri"/>
          <w:sz w:val="24"/>
          <w:szCs w:val="24"/>
          <w:lang w:val="es-CO"/>
        </w:rPr>
      </w:pPr>
      <w:r>
        <w:rPr>
          <w:rFonts w:cs="Calibri"/>
          <w:sz w:val="24"/>
          <w:szCs w:val="24"/>
          <w:lang w:val="es-CO"/>
        </w:rPr>
        <w:t xml:space="preserve"> Desde la perspectiva ambiental, en ambas zonas de estudio se identifican afectaciones recurrentes sobre los sistemas hídricos, resultado de la remoción de sedimentos, el uso de maquinaria y la alteración geomorfológica de los cauces. En el caso del Alto Putumayo, las comunidades han denunciado </w:t>
      </w:r>
      <w:r>
        <w:rPr>
          <w:rFonts w:cs="Calibri"/>
          <w:i/>
          <w:iCs/>
          <w:sz w:val="24"/>
          <w:szCs w:val="24"/>
          <w:lang w:val="es-CO"/>
        </w:rPr>
        <w:t>“contaminación de fuentes hídricas, erosión de la ribera de los ríos y disminución del flujo hídrico”</w:t>
      </w:r>
      <w:r>
        <w:rPr>
          <w:rFonts w:cs="Calibri"/>
          <w:sz w:val="24"/>
          <w:szCs w:val="24"/>
          <w:lang w:val="es-CO"/>
        </w:rPr>
        <w:t xml:space="preserve"> como consecuencia directa de la explotación de materiales de construcción</w:t>
      </w:r>
      <w:r>
        <w:rPr>
          <w:rStyle w:val="Refdenotaalpie"/>
          <w:rFonts w:cs="Calibri"/>
          <w:sz w:val="24"/>
          <w:szCs w:val="24"/>
          <w:lang w:val="es-CO"/>
        </w:rPr>
        <w:footnoteReference w:id="51"/>
      </w:r>
      <w:r>
        <w:rPr>
          <w:rFonts w:cs="Calibri"/>
          <w:sz w:val="24"/>
          <w:szCs w:val="24"/>
          <w:lang w:val="es-CO"/>
        </w:rPr>
        <w:t xml:space="preserve">. De manera similar, en el río Guaviare se documenta la </w:t>
      </w:r>
      <w:r>
        <w:rPr>
          <w:rFonts w:cs="Calibri"/>
          <w:i/>
          <w:iCs/>
          <w:sz w:val="24"/>
          <w:szCs w:val="24"/>
          <w:lang w:val="es-CO"/>
        </w:rPr>
        <w:t>“contaminación/afectación a fuentes hídricas”</w:t>
      </w:r>
      <w:r>
        <w:rPr>
          <w:rFonts w:cs="Calibri"/>
          <w:sz w:val="24"/>
          <w:szCs w:val="24"/>
          <w:lang w:val="es-CO"/>
        </w:rPr>
        <w:t xml:space="preserve"> y la alteración de la estructura física del cauce, afectando la dinámica sedimentaria y la disponibilidad de agua para consumo y usos tradicionales</w:t>
      </w:r>
      <w:r>
        <w:rPr>
          <w:rStyle w:val="Refdenotaalpie"/>
          <w:rFonts w:cs="Calibri"/>
          <w:sz w:val="24"/>
          <w:szCs w:val="24"/>
          <w:lang w:val="es-CO"/>
        </w:rPr>
        <w:footnoteReference w:id="52"/>
      </w:r>
      <w:r>
        <w:rPr>
          <w:rFonts w:cs="Calibri"/>
          <w:sz w:val="24"/>
          <w:szCs w:val="24"/>
          <w:lang w:val="es-CO"/>
        </w:rPr>
        <w:t>. En ambos escenarios, estos cambios deterioran la calidad del agua, incrementan la turbidez y afectan procesos ecológicos esenciales como la reproducción de especies y la estabilidad de los hábitats acuáticos.</w:t>
      </w:r>
    </w:p>
    <w:p w:rsidR="00527B8C" w:rsidRDefault="00527B8C" w14:paraId="623CF613" w14:textId="77777777">
      <w:pPr>
        <w:spacing w:after="0" w:line="360" w:lineRule="auto"/>
        <w:ind w:firstLine="302" w:firstLineChars="126"/>
        <w:jc w:val="both"/>
        <w:rPr>
          <w:rFonts w:cs="Calibri"/>
          <w:sz w:val="24"/>
          <w:szCs w:val="24"/>
          <w:lang w:val="es-CO"/>
        </w:rPr>
      </w:pPr>
    </w:p>
    <w:p w:rsidR="00527B8C" w:rsidRDefault="00212A57" w14:paraId="57B92798" w14:textId="77777777">
      <w:pPr>
        <w:spacing w:after="0" w:line="360" w:lineRule="auto"/>
        <w:ind w:firstLine="302" w:firstLineChars="126"/>
        <w:jc w:val="both"/>
        <w:rPr>
          <w:rFonts w:cs="Calibri"/>
          <w:sz w:val="24"/>
          <w:szCs w:val="24"/>
          <w:lang w:val="es-CO"/>
        </w:rPr>
      </w:pPr>
      <w:r>
        <w:rPr>
          <w:rFonts w:cs="Calibri"/>
          <w:sz w:val="24"/>
          <w:szCs w:val="24"/>
          <w:lang w:val="es-CO"/>
        </w:rPr>
        <w:t xml:space="preserve">Asimismo, tanto en Putumayo como en Guaviare se reporta la pérdida de biodiversidad acuática, atribuida a la perturbación de los ecosistemas fluviales. En ambas investigaciones se destacan la afectación a peces, invertebrados y especies asociadas a orillas y playas fluviales, reduciendo la diversidad y disponibilidad de recursos hidrobiológicos esenciales para las comunidades. En el Alto Putumayo se identifica este proceso como una </w:t>
      </w:r>
      <w:r>
        <w:rPr>
          <w:rFonts w:cs="Calibri"/>
          <w:i/>
          <w:iCs/>
          <w:sz w:val="24"/>
          <w:szCs w:val="24"/>
          <w:lang w:val="es-CO"/>
        </w:rPr>
        <w:t>“pérdida de biodiversidad acuática”</w:t>
      </w:r>
      <w:r>
        <w:rPr>
          <w:rFonts w:cs="Calibri"/>
          <w:sz w:val="24"/>
          <w:szCs w:val="24"/>
          <w:lang w:val="es-CO"/>
        </w:rPr>
        <w:t xml:space="preserve"> vinculada a la constante remoción de material del lecho y la degradación de las márgenes</w:t>
      </w:r>
      <w:r>
        <w:rPr>
          <w:rStyle w:val="Refdenotaalpie"/>
          <w:rFonts w:cs="Calibri"/>
          <w:sz w:val="24"/>
          <w:szCs w:val="24"/>
          <w:lang w:val="es-CO"/>
        </w:rPr>
        <w:footnoteReference w:id="53"/>
      </w:r>
      <w:r>
        <w:rPr>
          <w:rFonts w:cs="Calibri"/>
          <w:sz w:val="24"/>
          <w:szCs w:val="24"/>
          <w:lang w:val="es-CO"/>
        </w:rPr>
        <w:t>, mientras que en el Guaviare esta afectación se señala explícitamente como impacto directo sobre la flora y fauna silvestre del sistema hídrico</w:t>
      </w:r>
      <w:r>
        <w:rPr>
          <w:rStyle w:val="Refdenotaalpie"/>
          <w:rFonts w:cs="Calibri"/>
          <w:sz w:val="24"/>
          <w:szCs w:val="24"/>
          <w:lang w:val="es-CO"/>
        </w:rPr>
        <w:footnoteReference w:id="54"/>
      </w:r>
      <w:r>
        <w:rPr>
          <w:rFonts w:cs="Calibri"/>
          <w:sz w:val="24"/>
          <w:szCs w:val="24"/>
          <w:lang w:val="es-CO"/>
        </w:rPr>
        <w:t>.</w:t>
      </w:r>
    </w:p>
    <w:p w:rsidR="00527B8C" w:rsidRDefault="00527B8C" w14:paraId="7530D33F" w14:textId="77777777">
      <w:pPr>
        <w:spacing w:after="0" w:line="360" w:lineRule="auto"/>
        <w:ind w:firstLine="302" w:firstLineChars="126"/>
        <w:jc w:val="both"/>
        <w:rPr>
          <w:rFonts w:cs="Calibri"/>
          <w:sz w:val="24"/>
          <w:szCs w:val="24"/>
          <w:lang w:val="es-CO"/>
        </w:rPr>
      </w:pPr>
    </w:p>
    <w:p w:rsidR="00527B8C" w:rsidRDefault="00212A57" w14:paraId="6D2520B4" w14:textId="77777777">
      <w:pPr>
        <w:spacing w:after="0" w:line="360" w:lineRule="auto"/>
        <w:ind w:firstLine="302" w:firstLineChars="126"/>
        <w:jc w:val="both"/>
        <w:rPr>
          <w:rFonts w:cs="Calibri"/>
          <w:sz w:val="24"/>
          <w:szCs w:val="24"/>
          <w:lang w:val="es-CO"/>
        </w:rPr>
      </w:pPr>
      <w:r>
        <w:rPr>
          <w:rFonts w:cs="Calibri"/>
          <w:sz w:val="24"/>
          <w:szCs w:val="24"/>
          <w:lang w:val="es-CO"/>
        </w:rPr>
        <w:t xml:space="preserve"> La erosión de suelos y degradación geomorfológica es otro impacto compartido. En el Putumayo, la erosión de riberas y la inestabilidad del terreno han generado procesos de degradación acelerada y pérdida de zonas ribereñas</w:t>
      </w:r>
      <w:r>
        <w:rPr>
          <w:rStyle w:val="Refdenotaalpie"/>
          <w:rFonts w:cs="Calibri"/>
          <w:sz w:val="24"/>
          <w:szCs w:val="24"/>
          <w:lang w:val="es-CO"/>
        </w:rPr>
        <w:footnoteReference w:id="55"/>
      </w:r>
      <w:r>
        <w:rPr>
          <w:rFonts w:cs="Calibri"/>
          <w:sz w:val="24"/>
          <w:szCs w:val="24"/>
          <w:lang w:val="es-CO"/>
        </w:rPr>
        <w:t>. En el Guaviare, la modificación de la forma del cauce y los cambios en la sedimentación también generan afectaciones de largo plazo en la estructura física del río, aumentando la vulnerabilidad ante eventos extremos y limitando la capacidad de recuperación natural</w:t>
      </w:r>
      <w:r>
        <w:rPr>
          <w:rStyle w:val="Refdenotaalpie"/>
          <w:rFonts w:cs="Calibri"/>
          <w:sz w:val="24"/>
          <w:szCs w:val="24"/>
          <w:lang w:val="es-CO"/>
        </w:rPr>
        <w:footnoteReference w:id="56"/>
      </w:r>
      <w:r>
        <w:rPr>
          <w:rFonts w:cs="Calibri"/>
          <w:sz w:val="24"/>
          <w:szCs w:val="24"/>
          <w:lang w:val="es-CO"/>
        </w:rPr>
        <w:t>.</w:t>
      </w:r>
    </w:p>
    <w:p w:rsidR="00527B8C" w:rsidRDefault="00527B8C" w14:paraId="44648D4E" w14:textId="77777777">
      <w:pPr>
        <w:spacing w:after="0" w:line="360" w:lineRule="auto"/>
        <w:ind w:firstLine="302" w:firstLineChars="126"/>
        <w:jc w:val="both"/>
        <w:rPr>
          <w:rFonts w:cs="Calibri"/>
          <w:sz w:val="24"/>
          <w:szCs w:val="24"/>
          <w:lang w:val="es-CO"/>
        </w:rPr>
      </w:pPr>
    </w:p>
    <w:p w:rsidR="00527B8C" w:rsidRDefault="00212A57" w14:paraId="608DC32C" w14:textId="77777777">
      <w:pPr>
        <w:spacing w:after="0" w:line="360" w:lineRule="auto"/>
        <w:ind w:firstLine="302" w:firstLineChars="126"/>
        <w:jc w:val="both"/>
        <w:rPr>
          <w:rFonts w:cs="Calibri"/>
          <w:sz w:val="24"/>
          <w:szCs w:val="24"/>
          <w:lang w:val="es-CO"/>
        </w:rPr>
      </w:pPr>
      <w:r>
        <w:rPr>
          <w:rFonts w:cs="Calibri"/>
          <w:sz w:val="24"/>
          <w:szCs w:val="24"/>
          <w:lang w:val="es-CO"/>
        </w:rPr>
        <w:t xml:space="preserve"> En cuanto a la dimensión social, cultural y económica, los impactos se expresan de forma convergente en ambas regiones. La explotación de materiales de arrastre afecta la calidad de vida y los medios de subsistencia, especialmente aquellos ligados a la pesca y al uso directo de los ríos. En el Putumayo, la disminución del flujo hídrico, la contaminación y los cambios en la calidad del agua han afectado la pesca y las actividades domésticas, generando estrés para la salud humana y aumentando la vulnerabilid</w:t>
      </w:r>
      <w:r>
        <w:rPr>
          <w:rFonts w:cs="Calibri"/>
          <w:sz w:val="24"/>
          <w:szCs w:val="24"/>
          <w:lang w:val="es-CO"/>
        </w:rPr>
        <w:t>ad alimentaria de las familias indígenas y campesinas</w:t>
      </w:r>
      <w:r>
        <w:rPr>
          <w:rStyle w:val="Refdenotaalpie"/>
          <w:rFonts w:cs="Calibri"/>
          <w:sz w:val="24"/>
          <w:szCs w:val="24"/>
          <w:lang w:val="es-CO"/>
        </w:rPr>
        <w:footnoteReference w:id="57"/>
      </w:r>
      <w:r>
        <w:rPr>
          <w:rFonts w:cs="Calibri"/>
          <w:sz w:val="24"/>
          <w:szCs w:val="24"/>
          <w:lang w:val="es-CO"/>
        </w:rPr>
        <w:t xml:space="preserve">. En el Guaviare, las comunidades señalan que la minería de grava </w:t>
      </w:r>
      <w:r>
        <w:rPr>
          <w:rFonts w:cs="Calibri"/>
          <w:i/>
          <w:iCs/>
          <w:sz w:val="24"/>
          <w:szCs w:val="24"/>
          <w:lang w:val="es-CO"/>
        </w:rPr>
        <w:t>“está generando impacto sobre la pesca”</w:t>
      </w:r>
      <w:r>
        <w:rPr>
          <w:rFonts w:cs="Calibri"/>
          <w:sz w:val="24"/>
          <w:szCs w:val="24"/>
          <w:lang w:val="es-CO"/>
        </w:rPr>
        <w:t xml:space="preserve"> y afectando directamente sus prácticas culturales y su seguridad alimentaria</w:t>
      </w:r>
      <w:r>
        <w:rPr>
          <w:rStyle w:val="Refdenotaalpie"/>
          <w:rFonts w:cs="Calibri"/>
          <w:sz w:val="24"/>
          <w:szCs w:val="24"/>
          <w:lang w:val="es-CO"/>
        </w:rPr>
        <w:footnoteReference w:id="58"/>
      </w:r>
      <w:r>
        <w:rPr>
          <w:rFonts w:cs="Calibri"/>
          <w:sz w:val="24"/>
          <w:szCs w:val="24"/>
          <w:lang w:val="es-CO"/>
        </w:rPr>
        <w:t>.</w:t>
      </w:r>
    </w:p>
    <w:p w:rsidR="00527B8C" w:rsidRDefault="00527B8C" w14:paraId="39856705" w14:textId="77777777">
      <w:pPr>
        <w:spacing w:after="0" w:line="360" w:lineRule="auto"/>
        <w:ind w:firstLine="302" w:firstLineChars="126"/>
        <w:jc w:val="both"/>
        <w:rPr>
          <w:rFonts w:cs="Calibri"/>
          <w:sz w:val="24"/>
          <w:szCs w:val="24"/>
          <w:lang w:val="es-CO"/>
        </w:rPr>
      </w:pPr>
    </w:p>
    <w:p w:rsidR="00527B8C" w:rsidRDefault="00212A57" w14:paraId="4DCE0435" w14:textId="77777777">
      <w:pPr>
        <w:spacing w:after="0" w:line="360" w:lineRule="auto"/>
        <w:ind w:firstLine="302" w:firstLineChars="126"/>
        <w:jc w:val="both"/>
        <w:rPr>
          <w:rFonts w:cs="Calibri"/>
          <w:sz w:val="24"/>
          <w:szCs w:val="24"/>
          <w:lang w:val="es-CO"/>
        </w:rPr>
      </w:pPr>
      <w:r>
        <w:rPr>
          <w:rFonts w:cs="Calibri"/>
          <w:sz w:val="24"/>
          <w:szCs w:val="24"/>
          <w:lang w:val="es-CO"/>
        </w:rPr>
        <w:t xml:space="preserve"> Los impactos sociales también incluyen la fragmentación comunitaria y la pérdida de prácticas culturales, particularmente visibles en contextos donde existen posturas divergentes sobre la explotación de los recursos. En el Putumayo, el Instituto Sinchi documento una </w:t>
      </w:r>
      <w:r>
        <w:rPr>
          <w:rFonts w:cs="Calibri"/>
          <w:i/>
          <w:iCs/>
          <w:sz w:val="24"/>
          <w:szCs w:val="24"/>
          <w:lang w:val="es-CO"/>
        </w:rPr>
        <w:t>“división y enfrentamiento entre miembros de la misma comunidad”</w:t>
      </w:r>
      <w:r>
        <w:rPr>
          <w:rFonts w:cs="Calibri"/>
          <w:sz w:val="24"/>
          <w:szCs w:val="24"/>
          <w:lang w:val="es-CO"/>
        </w:rPr>
        <w:t xml:space="preserve"> vinculada a la presencia de actores extractivos y a la toma de decisiones sobre las actividades de explotación</w:t>
      </w:r>
      <w:r>
        <w:rPr>
          <w:rStyle w:val="Refdenotaalpie"/>
          <w:rFonts w:cs="Calibri"/>
          <w:sz w:val="24"/>
          <w:szCs w:val="24"/>
          <w:lang w:val="es-CO"/>
        </w:rPr>
        <w:footnoteReference w:id="59"/>
      </w:r>
      <w:r>
        <w:rPr>
          <w:rFonts w:cs="Calibri"/>
          <w:sz w:val="24"/>
          <w:szCs w:val="24"/>
          <w:lang w:val="es-CO"/>
        </w:rPr>
        <w:t xml:space="preserve">. En el Guaviare, se señala la </w:t>
      </w:r>
      <w:r>
        <w:rPr>
          <w:rFonts w:cs="Calibri"/>
          <w:i/>
          <w:iCs/>
          <w:sz w:val="24"/>
          <w:szCs w:val="24"/>
          <w:lang w:val="es-CO"/>
        </w:rPr>
        <w:t>“pérdida de conocimientos, prácticas y culturas tradicionales”</w:t>
      </w:r>
      <w:r>
        <w:rPr>
          <w:rFonts w:cs="Calibri"/>
          <w:sz w:val="24"/>
          <w:szCs w:val="24"/>
          <w:lang w:val="es-CO"/>
        </w:rPr>
        <w:t xml:space="preserve"> como una de las afectaciones más profundas, pues las actividades extractivas interfieren con la transmisión intergeneracional de saberes y con la armonía territorial que sustentan las comunidades Jiw, Cubeo y Nükak</w:t>
      </w:r>
      <w:r>
        <w:rPr>
          <w:rStyle w:val="Refdenotaalpie"/>
          <w:rFonts w:cs="Calibri"/>
          <w:sz w:val="24"/>
          <w:szCs w:val="24"/>
          <w:lang w:val="es-CO"/>
        </w:rPr>
        <w:footnoteReference w:id="60"/>
      </w:r>
      <w:r>
        <w:rPr>
          <w:rFonts w:cs="Calibri"/>
          <w:sz w:val="24"/>
          <w:szCs w:val="24"/>
          <w:lang w:val="es-CO"/>
        </w:rPr>
        <w:t>.</w:t>
      </w:r>
    </w:p>
    <w:p w:rsidR="00527B8C" w:rsidRDefault="00527B8C" w14:paraId="7384337A" w14:textId="77777777">
      <w:pPr>
        <w:spacing w:after="0" w:line="360" w:lineRule="auto"/>
        <w:ind w:firstLine="302" w:firstLineChars="126"/>
        <w:jc w:val="both"/>
        <w:rPr>
          <w:rFonts w:cs="Calibri"/>
          <w:sz w:val="24"/>
          <w:szCs w:val="24"/>
          <w:lang w:val="es-CO"/>
        </w:rPr>
      </w:pPr>
    </w:p>
    <w:p w:rsidR="00527B8C" w:rsidRDefault="00212A57" w14:paraId="31B7C170" w14:textId="77777777">
      <w:pPr>
        <w:spacing w:after="0" w:line="360" w:lineRule="auto"/>
        <w:ind w:firstLine="302" w:firstLineChars="126"/>
        <w:jc w:val="both"/>
        <w:rPr>
          <w:rFonts w:cs="Calibri"/>
          <w:sz w:val="24"/>
          <w:szCs w:val="24"/>
          <w:lang w:val="es-CO"/>
        </w:rPr>
      </w:pPr>
      <w:r w:rsidR="00212A57">
        <w:rPr>
          <w:rFonts w:cs="Calibri"/>
          <w:sz w:val="24"/>
          <w:szCs w:val="24"/>
          <w:lang w:val="es-CO"/>
        </w:rPr>
        <w:t xml:space="preserve"> Cabe resaltar, además, que, sumado a los impactos sociales y ambientales, se presenta un factor determinante en la explotación de materiales de arrastre en estos dos departamentos, el Instituto Sinchi relaciona la existencia de conflictos por el uso y tenencia de la tierra, así como el despojo territorial que afectan gravemente los derechos colectivos de las comunidades indígenas y campesinas. En el caso del Putumayo, se identificó que la intensificación de la explotación de material de arrastre ha propici</w:t>
      </w:r>
      <w:r w:rsidR="00212A57">
        <w:rPr>
          <w:rFonts w:cs="Calibri"/>
          <w:sz w:val="24"/>
          <w:szCs w:val="24"/>
          <w:lang w:val="es-CO"/>
        </w:rPr>
        <w:t>ado la apropiación privada y no autorizada de zonas ribereñas, generando tensiones internas y disputas por el control de áreas tradicionalmente utilizadas para pesca, agricultura y tránsito comunitario</w:t>
      </w:r>
      <w:r>
        <w:rPr>
          <w:rStyle w:val="Refdenotaalpie"/>
          <w:rFonts w:cs="Calibri"/>
          <w:sz w:val="24"/>
          <w:szCs w:val="24"/>
          <w:lang w:val="es-CO"/>
        </w:rPr>
        <w:footnoteReference w:id="61"/>
      </w:r>
      <w:r w:rsidR="00212A57">
        <w:rPr>
          <w:rFonts w:cs="Calibri"/>
          <w:sz w:val="24"/>
          <w:szCs w:val="24"/>
          <w:lang w:val="es-CO"/>
        </w:rPr>
        <w:t xml:space="preserve">. Por su parte, en el Guaviare, se registra el despojo de tierras como un impacto central del conflicto, situación que se manifiesta de manera directa en los resguardos del Refugio, La Fuga y Barrancón, donde las actividades mineras desplazan usos ancestrales del territorio y vulneran las prácticas culturales de los pueblos </w:t>
      </w:r>
      <w:r w:rsidR="00212A57">
        <w:rPr>
          <w:rFonts w:cs="Calibri"/>
          <w:sz w:val="24"/>
          <w:szCs w:val="24"/>
          <w:lang w:val="es-CO"/>
        </w:rPr>
        <w:t>Jiw</w:t>
      </w:r>
      <w:r w:rsidR="00212A57">
        <w:rPr>
          <w:rFonts w:cs="Calibri"/>
          <w:sz w:val="24"/>
          <w:szCs w:val="24"/>
          <w:lang w:val="es-CO"/>
        </w:rPr>
        <w:t xml:space="preserve">, Cubeo y </w:t>
      </w:r>
      <w:r w:rsidR="00212A57">
        <w:rPr>
          <w:rFonts w:cs="Calibri"/>
          <w:sz w:val="24"/>
          <w:szCs w:val="24"/>
          <w:lang w:val="es-CO"/>
        </w:rPr>
        <w:t>Nükak</w:t>
      </w:r>
      <w:r>
        <w:rPr>
          <w:rStyle w:val="Refdenotaalpie"/>
          <w:rFonts w:cs="Calibri"/>
          <w:sz w:val="24"/>
          <w:szCs w:val="24"/>
          <w:lang w:val="es-CO"/>
        </w:rPr>
        <w:footnoteReference w:id="62"/>
      </w:r>
      <w:r w:rsidR="00212A57">
        <w:rPr>
          <w:rFonts w:cs="Calibri"/>
          <w:sz w:val="24"/>
          <w:szCs w:val="24"/>
          <w:lang w:val="es-CO"/>
        </w:rPr>
        <w:t>. En ambos casos, el despojo no solo es físico, sino también simbólico y funcional, pues altera la relación histórica entre las comunidades y sus espacios de vida.</w:t>
      </w:r>
    </w:p>
    <w:p w:rsidR="03AFCFD3" w:rsidP="03AFCFD3" w:rsidRDefault="03AFCFD3" w14:paraId="49690282" w14:textId="228207DA">
      <w:pPr>
        <w:spacing w:after="0" w:line="360" w:lineRule="auto"/>
        <w:ind w:firstLine="302" w:firstLineChars="126"/>
        <w:jc w:val="both"/>
        <w:rPr>
          <w:rFonts w:cs="Calibri"/>
          <w:sz w:val="24"/>
          <w:szCs w:val="24"/>
          <w:lang w:val="es-CO"/>
        </w:rPr>
      </w:pPr>
    </w:p>
    <w:p w:rsidR="00527B8C" w:rsidRDefault="00212A57" w14:paraId="0AA38784" w14:textId="77777777">
      <w:pPr>
        <w:spacing w:after="0" w:line="360" w:lineRule="auto"/>
        <w:ind w:firstLine="302" w:firstLineChars="126"/>
        <w:jc w:val="both"/>
        <w:rPr>
          <w:rFonts w:cs="Calibri"/>
          <w:sz w:val="24"/>
          <w:szCs w:val="24"/>
          <w:lang w:val="es-CO"/>
        </w:rPr>
      </w:pPr>
      <w:r>
        <w:rPr>
          <w:rFonts w:cs="Calibri"/>
          <w:sz w:val="24"/>
          <w:szCs w:val="24"/>
          <w:lang w:val="es-CO"/>
        </w:rPr>
        <w:t xml:space="preserve"> Los escenarios de conflictividad territorial se encuentran estrechamente vinculados con el uso y aprovechamiento de la tierra, intensificados por la superposición de intereses extractivos, decisiones institucionales insuficientemente consultadas y disputas internas derivadas de la falta de claridad sobre los límites, derechos y formas de uso del territorio. En el Putumayo, esta dinámica se ha motivado en la competencia por recursos y los beneficios asociados a la explotación de materiales de construcción</w:t>
      </w:r>
      <w:r>
        <w:rPr>
          <w:rStyle w:val="Refdenotaalpie"/>
          <w:rFonts w:cs="Calibri"/>
          <w:sz w:val="24"/>
          <w:szCs w:val="24"/>
          <w:lang w:val="es-CO"/>
        </w:rPr>
        <w:footnoteReference w:id="63"/>
      </w:r>
      <w:r>
        <w:rPr>
          <w:rFonts w:cs="Calibri"/>
          <w:sz w:val="24"/>
          <w:szCs w:val="24"/>
          <w:lang w:val="es-CO"/>
        </w:rPr>
        <w:t>. En el Guaviare, la minería de grava genera tensiones entre actores externos y autoridades indígenas, provocando conflictos relacionados con la protección del resguardo, la defensa de prácticas ancestrales y el derecho a la autodeterminación territorial</w:t>
      </w:r>
      <w:r>
        <w:rPr>
          <w:rStyle w:val="Refdenotaalpie"/>
          <w:rFonts w:cs="Calibri"/>
          <w:sz w:val="24"/>
          <w:szCs w:val="24"/>
          <w:lang w:val="es-CO"/>
        </w:rPr>
        <w:footnoteReference w:id="64"/>
      </w:r>
      <w:r>
        <w:rPr>
          <w:rFonts w:cs="Calibri"/>
          <w:sz w:val="24"/>
          <w:szCs w:val="24"/>
          <w:lang w:val="es-CO"/>
        </w:rPr>
        <w:t>. De esta manera, tanto el Putumayo como el Guaviare muestran cómo la presión extractiva sobre los ríos no solo transforma los ecosistemas, sino que también profundiza disputas históricas por el acceso, control y gobernanza de la tierra, debilitando la cohesión comunitaria y el ejercicio de los derechos colectivos.</w:t>
      </w:r>
    </w:p>
    <w:p w:rsidR="00527B8C" w:rsidRDefault="00527B8C" w14:paraId="3E927D23" w14:textId="77777777">
      <w:pPr>
        <w:spacing w:after="0" w:line="360" w:lineRule="auto"/>
        <w:ind w:firstLine="302" w:firstLineChars="126"/>
        <w:jc w:val="both"/>
        <w:rPr>
          <w:rFonts w:cs="Calibri"/>
          <w:sz w:val="24"/>
          <w:szCs w:val="24"/>
          <w:lang w:val="es-CO"/>
        </w:rPr>
      </w:pPr>
    </w:p>
    <w:p w:rsidR="00527B8C" w:rsidRDefault="00212A57" w14:paraId="14D78BAC" w14:textId="77777777">
      <w:pPr>
        <w:spacing w:after="0" w:line="360" w:lineRule="auto"/>
        <w:ind w:firstLine="302" w:firstLineChars="126"/>
        <w:jc w:val="both"/>
        <w:rPr>
          <w:rFonts w:cs="Calibri"/>
          <w:sz w:val="24"/>
          <w:szCs w:val="24"/>
          <w:lang w:val="es-CO"/>
        </w:rPr>
      </w:pPr>
      <w:r>
        <w:rPr>
          <w:rFonts w:cs="Calibri"/>
          <w:sz w:val="24"/>
          <w:szCs w:val="24"/>
          <w:lang w:val="es-CO"/>
        </w:rPr>
        <w:t xml:space="preserve"> Ahora bien, más allá de los efectos descritos en las zonas del Putumayo y Guaviare, la explotación de materiales de arrastre en cuerpos de agua y ríos tiene una serie de implicaciones ambientales y sociales adicionales que requieren atención específica, como se ha señalado en los apartados anteriores de este documento. Estudios de caso desarrollados en diferentes regiones del país muestran que estos impactos no se limitan a la calidad del agua o la pérdida de biodiversidad, sino que también se manifiestan </w:t>
      </w:r>
      <w:r>
        <w:rPr>
          <w:rFonts w:cs="Calibri"/>
          <w:sz w:val="24"/>
          <w:szCs w:val="24"/>
          <w:lang w:val="es-CO"/>
        </w:rPr>
        <w:t>como pasivos ambientales acumulativos, cambios en el uso del suelo, alteraciones profundas en la estructura de las comunidades humanas y en la gestión territorial deliberada por parte de las autoridades y actores locales.</w:t>
      </w:r>
    </w:p>
    <w:p w:rsidR="00527B8C" w:rsidRDefault="00527B8C" w14:paraId="2C1604CD" w14:textId="77777777">
      <w:pPr>
        <w:spacing w:after="0" w:line="360" w:lineRule="auto"/>
        <w:ind w:firstLine="302" w:firstLineChars="126"/>
        <w:jc w:val="both"/>
        <w:rPr>
          <w:rFonts w:cs="Calibri"/>
          <w:sz w:val="24"/>
          <w:szCs w:val="24"/>
          <w:lang w:val="es-CO"/>
        </w:rPr>
      </w:pPr>
    </w:p>
    <w:p w:rsidR="00527B8C" w:rsidRDefault="00212A57" w14:paraId="63C2F29B" w14:textId="77777777">
      <w:pPr>
        <w:spacing w:after="0" w:line="360" w:lineRule="auto"/>
        <w:ind w:firstLine="302" w:firstLineChars="126"/>
        <w:jc w:val="both"/>
        <w:rPr>
          <w:rFonts w:cs="Calibri"/>
          <w:sz w:val="24"/>
          <w:szCs w:val="24"/>
          <w:lang w:val="es-CO"/>
        </w:rPr>
      </w:pPr>
      <w:r>
        <w:rPr>
          <w:rFonts w:cs="Calibri"/>
          <w:sz w:val="24"/>
          <w:szCs w:val="24"/>
          <w:lang w:val="es-CO"/>
        </w:rPr>
        <w:t xml:space="preserve"> Desde la perspectiva ambiental, un estudio realizado por Herrera (2021) en el departamento de Sucre, muestra que la extracción continua de grava, arena y otros agregados de arrastre provoca la formación de pasivos ambientales significativos en los cauces afectados, tales como cambios estructurales permanentes en los perfiles longitudinales y transversales de los ríos. Estos cambios resultan en alteraciones en la recarga de acuíferos, variaciones en la hidrodinámica fluvial y la destrucción de hábitats crít</w:t>
      </w:r>
      <w:r>
        <w:rPr>
          <w:rFonts w:cs="Calibri"/>
          <w:sz w:val="24"/>
          <w:szCs w:val="24"/>
          <w:lang w:val="es-CO"/>
        </w:rPr>
        <w:t>icos para muchas especies acuáticas. Por ejemplo, evaluaciones en contextos como el municipio de Morroa, Sucre, demuestran que la explotación de material de arrastre genera un conjunto de pasivos ambientales que afectan la fauna y la flora, así como los recursos hídricos que sirven de base para el abastecimiento humano y la recarga de acuíferos</w:t>
      </w:r>
      <w:r>
        <w:rPr>
          <w:rStyle w:val="Refdenotaalpie"/>
          <w:rFonts w:cs="Calibri"/>
          <w:sz w:val="24"/>
          <w:szCs w:val="24"/>
          <w:lang w:val="es-CO"/>
        </w:rPr>
        <w:footnoteReference w:id="65"/>
      </w:r>
      <w:r>
        <w:rPr>
          <w:rFonts w:cs="Calibri"/>
          <w:sz w:val="24"/>
          <w:szCs w:val="24"/>
          <w:lang w:val="es-CO"/>
        </w:rPr>
        <w:t xml:space="preserve">. La cuantificación y reconocimiento de estos pasivos es fundamental para establecer acciones de restauración, que, en relación con los casos relacionados en los departamentos de Guaviare y Putumayo, requieren el impulso de sistemas de prevención y diseñar planes de control y adecuación ambiental que mitiguen de manera efectiva los daños persistentes que la actividad deja en el territorio. </w:t>
      </w:r>
    </w:p>
    <w:p w:rsidR="00527B8C" w:rsidRDefault="00527B8C" w14:paraId="48E1FEBF" w14:textId="77777777">
      <w:pPr>
        <w:spacing w:after="0" w:line="360" w:lineRule="auto"/>
        <w:ind w:firstLine="302" w:firstLineChars="126"/>
        <w:jc w:val="both"/>
        <w:rPr>
          <w:rFonts w:cs="Calibri"/>
          <w:sz w:val="24"/>
          <w:szCs w:val="24"/>
          <w:lang w:val="es-CO"/>
        </w:rPr>
      </w:pPr>
    </w:p>
    <w:p w:rsidR="00527B8C" w:rsidRDefault="00212A57" w14:paraId="20F6C872" w14:textId="77777777">
      <w:pPr>
        <w:spacing w:after="0" w:line="360" w:lineRule="auto"/>
        <w:ind w:firstLine="302" w:firstLineChars="126"/>
        <w:jc w:val="both"/>
        <w:rPr>
          <w:rFonts w:cs="Calibri"/>
          <w:sz w:val="24"/>
          <w:szCs w:val="24"/>
          <w:lang w:val="es-CO"/>
        </w:rPr>
      </w:pPr>
      <w:r>
        <w:rPr>
          <w:rFonts w:cs="Calibri"/>
          <w:sz w:val="24"/>
          <w:szCs w:val="24"/>
          <w:lang w:val="es-CO"/>
        </w:rPr>
        <w:t xml:space="preserve"> Desde la perspectiva social, uno de los elementos que resaltan en los casos de los departamentos de Guaviare y Putumayo es el impacto generado la seguridad y salud pública vinculado a la explotación de este tipo de materiales. Diversas investigaciones, como la desarrollada por Martínez (2017) documentado las actividades extractivas en el río Purnio en el municipio de La Dorada, departamento de Caldas, expone que incluso cuando la explotación de materiales de arrastre no implica granos metálicos o sustancia</w:t>
      </w:r>
      <w:r>
        <w:rPr>
          <w:rFonts w:cs="Calibri"/>
          <w:sz w:val="24"/>
          <w:szCs w:val="24"/>
          <w:lang w:val="es-CO"/>
        </w:rPr>
        <w:t>s altamente tóxicas como el mercurio, pueden influir negativamente en la salud de las comunidades ribereñas. Esto ocurre mediante la exposición continua a sedimentos en suspensión, polvo y partículas finas generadas por el movimiento de maquinaria y el transporte de material, así como por la alteración de la calidad del agua utilizada para consumo humano, riego y actividades domésticas. Estas preocupaciones no sólo están relacionadas con condiciones fisicoquímicas del agua, sino también con factores socioam</w:t>
      </w:r>
      <w:r>
        <w:rPr>
          <w:rFonts w:cs="Calibri"/>
          <w:sz w:val="24"/>
          <w:szCs w:val="24"/>
          <w:lang w:val="es-CO"/>
        </w:rPr>
        <w:t>bientales como la inseguridad alimentaria derivada de la disminución de recursos hidrobiológicos disponibles para pesca y consumo local</w:t>
      </w:r>
      <w:r>
        <w:rPr>
          <w:rStyle w:val="Refdenotaalpie"/>
          <w:rFonts w:cs="Calibri"/>
          <w:sz w:val="24"/>
          <w:szCs w:val="24"/>
          <w:lang w:val="es-CO"/>
        </w:rPr>
        <w:footnoteReference w:id="66"/>
      </w:r>
      <w:r>
        <w:rPr>
          <w:rFonts w:cs="Calibri"/>
          <w:sz w:val="24"/>
          <w:szCs w:val="24"/>
          <w:lang w:val="es-CO"/>
        </w:rPr>
        <w:t>.</w:t>
      </w:r>
    </w:p>
    <w:p w:rsidR="00527B8C" w:rsidRDefault="00527B8C" w14:paraId="367475D6" w14:textId="77777777">
      <w:pPr>
        <w:spacing w:after="0" w:line="360" w:lineRule="auto"/>
        <w:ind w:firstLine="302" w:firstLineChars="126"/>
        <w:jc w:val="both"/>
        <w:rPr>
          <w:rFonts w:cs="Calibri"/>
          <w:sz w:val="24"/>
          <w:szCs w:val="24"/>
          <w:lang w:val="es-CO"/>
        </w:rPr>
      </w:pPr>
    </w:p>
    <w:p w:rsidR="00527B8C" w:rsidRDefault="00212A57" w14:paraId="2CD963F7" w14:textId="77777777">
      <w:pPr>
        <w:spacing w:after="0" w:line="360" w:lineRule="auto"/>
        <w:ind w:firstLine="302" w:firstLineChars="126"/>
        <w:jc w:val="both"/>
        <w:rPr>
          <w:rFonts w:cs="Calibri"/>
          <w:sz w:val="24"/>
          <w:szCs w:val="24"/>
          <w:lang w:val="es-CO"/>
        </w:rPr>
      </w:pPr>
      <w:r w:rsidRPr="53DEF7DD" w:rsidR="670101B5">
        <w:rPr>
          <w:rFonts w:cs="Calibri"/>
          <w:sz w:val="24"/>
          <w:szCs w:val="24"/>
          <w:lang w:val="es-CO"/>
        </w:rPr>
        <w:t xml:space="preserve"> En su conjunto, el escenario presentado previamente, evidencia que la conflictividad socioambiental relacionada con la explotación de materiales de arrastre se asocia esencialmente en los mecanismos para asegurar el ejercicio de la gobernanza en la región amazónica. Los casos de los departamentos del Guaviare y Putumayo han puesto de relieve la deficiencia de mecanismos de gestión integral y la ausencia de mecanismos de seguimiento y control que integren la evaluación de impactos ambientales con las necesi</w:t>
      </w:r>
      <w:r w:rsidRPr="53DEF7DD" w:rsidR="670101B5">
        <w:rPr>
          <w:rFonts w:cs="Calibri"/>
          <w:sz w:val="24"/>
          <w:szCs w:val="24"/>
          <w:lang w:val="es-CO"/>
        </w:rPr>
        <w:t>dades y prioridades de las comunidades afectadas e impactas por esta actividad. La falta de instrumentos técnicos adecuados, monitoreo continuo y participación comunitaria en la toma de decisiones ambientales facilita que las operaciones de extracción de materiales de arrastre operen sin la mitigación adecuada de sus impactos. Esto se traduce en una percepción creciente de desprotección por parte de las poblaciones locales frente a las autoridades ambientales, lo que a su vez alimenta procesos de conflictiv</w:t>
      </w:r>
      <w:r w:rsidRPr="53DEF7DD" w:rsidR="670101B5">
        <w:rPr>
          <w:rFonts w:cs="Calibri"/>
          <w:sz w:val="24"/>
          <w:szCs w:val="24"/>
          <w:lang w:val="es-CO"/>
        </w:rPr>
        <w:t>idad territorial y desconfianza institucional.</w:t>
      </w:r>
    </w:p>
    <w:p w:rsidR="53DEF7DD" w:rsidP="53DEF7DD" w:rsidRDefault="53DEF7DD" w14:paraId="09B39172" w14:textId="7AA9F431">
      <w:pPr>
        <w:spacing w:after="0" w:line="360" w:lineRule="auto"/>
        <w:ind w:firstLine="302" w:firstLineChars="126"/>
        <w:jc w:val="both"/>
        <w:rPr>
          <w:rFonts w:cs="Calibri"/>
          <w:sz w:val="24"/>
          <w:szCs w:val="24"/>
          <w:lang w:val="es-CO"/>
        </w:rPr>
      </w:pPr>
    </w:p>
    <w:p w:rsidR="6A262B53" w:rsidP="53DEF7DD" w:rsidRDefault="6A262B53" w14:paraId="503E2493" w14:textId="23A53BC1">
      <w:pPr>
        <w:spacing w:after="0" w:line="360" w:lineRule="auto"/>
        <w:ind w:firstLine="302" w:firstLineChars="126"/>
        <w:jc w:val="both"/>
        <w:rPr>
          <w:rFonts w:cs="Calibri"/>
          <w:sz w:val="24"/>
          <w:szCs w:val="24"/>
          <w:lang w:val="es-CO"/>
        </w:rPr>
      </w:pPr>
      <w:r w:rsidRPr="53DEF7DD" w:rsidR="6A262B53">
        <w:rPr>
          <w:rFonts w:cs="Calibri"/>
          <w:sz w:val="24"/>
          <w:szCs w:val="24"/>
          <w:lang w:val="es-CO"/>
        </w:rPr>
        <w:t xml:space="preserve">Lo anterior, guarda correspondencia con los resultados del diagnóstico elaborado por la Asociación de Profesionales Nueva Opción, </w:t>
      </w:r>
      <w:r w:rsidRPr="53DEF7DD" w:rsidR="6A262B53">
        <w:rPr>
          <w:rFonts w:cs="Calibri"/>
          <w:sz w:val="24"/>
          <w:szCs w:val="24"/>
          <w:lang w:val="es-CO"/>
        </w:rPr>
        <w:t>Corpoamazonia</w:t>
      </w:r>
      <w:r w:rsidRPr="53DEF7DD" w:rsidR="6A262B53">
        <w:rPr>
          <w:rFonts w:cs="Calibri"/>
          <w:sz w:val="24"/>
          <w:szCs w:val="24"/>
          <w:lang w:val="es-CO"/>
        </w:rPr>
        <w:t xml:space="preserve"> y Servicios Integrales Ambientales FYS (2019) en la cuenca del río Orito, en Putumayo, quienes advierten que la explotación de materiales de arrastre en este río constituye un factor relevante de conflictividad socioambiental, en particular por su incidencia sobre los ríos y los territorios ribereños. El diagnóstico realizado señala que, aunque esta actividad suele justificarse por su aporte a obras de infraestructura y a la economía local, su desarrollo que mayoritariamente se realiza sin ningún control y en zonas sin ningún título o concesión, ha generado tensiones persistentes con las comunidades que habitan las cuencas intervenidas. La alteración de los cauces, la remoción de sedimentos y la modificación de las dinámicas naturales de los ríos afectan espacios de uso común y recursos estratégicos para la subsistencia, como el agua y la pesca, lo que profundiza disputas entre actores locales, operadores extractivos y autoridades ambientales en torno al acceso, control y aprovechamiento del recurso.</w:t>
      </w:r>
      <w:r w:rsidRPr="53DEF7DD">
        <w:rPr>
          <w:rStyle w:val="Refdenotaalpie"/>
          <w:rFonts w:cs="Calibri"/>
          <w:sz w:val="24"/>
          <w:szCs w:val="24"/>
          <w:lang w:val="es-CO"/>
        </w:rPr>
        <w:footnoteReference w:id="3148"/>
      </w:r>
    </w:p>
    <w:p w:rsidR="6A262B53" w:rsidP="53DEF7DD" w:rsidRDefault="6A262B53" w14:paraId="06C280F8" w14:textId="243CF64F">
      <w:pPr>
        <w:pStyle w:val="Normal"/>
        <w:spacing w:after="0" w:line="360" w:lineRule="auto"/>
        <w:ind w:firstLine="302" w:firstLineChars="126"/>
        <w:jc w:val="both"/>
      </w:pPr>
      <w:r w:rsidRPr="53DEF7DD" w:rsidR="6A262B53">
        <w:rPr>
          <w:rFonts w:cs="Calibri"/>
          <w:sz w:val="24"/>
          <w:szCs w:val="24"/>
          <w:lang w:val="es-CO"/>
        </w:rPr>
        <w:t xml:space="preserve"> </w:t>
      </w:r>
    </w:p>
    <w:p w:rsidR="6A262B53" w:rsidP="53DEF7DD" w:rsidRDefault="6A262B53" w14:paraId="4B2EC829" w14:textId="7C047B7F">
      <w:pPr>
        <w:pStyle w:val="Normal"/>
        <w:spacing w:after="0" w:line="360" w:lineRule="auto"/>
        <w:ind w:firstLine="302" w:firstLineChars="126"/>
        <w:jc w:val="both"/>
        <w:rPr>
          <w:rFonts w:cs="Calibri"/>
          <w:sz w:val="24"/>
          <w:szCs w:val="24"/>
          <w:lang w:val="es-CO"/>
        </w:rPr>
      </w:pPr>
      <w:r w:rsidRPr="53DEF7DD" w:rsidR="6A262B53">
        <w:rPr>
          <w:rFonts w:cs="Calibri"/>
          <w:sz w:val="24"/>
          <w:szCs w:val="24"/>
          <w:lang w:val="es-CO"/>
        </w:rPr>
        <w:t>Asimismo, el diagnóstico resalta que la explotación de materiales de arrastre, especialmente cuando se realiza sin criterios técnicos adecuados o sin procesos efectivos de participación comunitaria, tiende a intensificar conflictos sociales preexistentes en el territorio. La pérdida de áreas tradicionalmente utilizadas para actividades productivas y culturales, sumada a la percepción de impactos ambientales no compensados, contribuye a escenarios de inconformidad y resistencia social. Estas tensiones se inscriben en un contexto más amplio de disputas por el uso del suelo y los bienes naturales en el departamento del Putumayo, donde la presión extractiva sobre los ríos se superpone con las necesidades de las comunidades locales y con la limitada capacidad institucional para garantizar una gestión ambiental concertada y socialmente legítima.</w:t>
      </w:r>
      <w:r w:rsidRPr="53DEF7DD">
        <w:rPr>
          <w:rStyle w:val="Refdenotaalpie"/>
          <w:rFonts w:cs="Calibri"/>
          <w:sz w:val="24"/>
          <w:szCs w:val="24"/>
          <w:lang w:val="es-CO"/>
        </w:rPr>
        <w:footnoteReference w:id="14382"/>
      </w:r>
    </w:p>
    <w:p w:rsidR="00527B8C" w:rsidRDefault="00212A57" w14:paraId="2ADCD0AD" w14:textId="77777777">
      <w:pPr>
        <w:spacing w:after="0" w:line="360" w:lineRule="auto"/>
        <w:ind w:firstLine="302" w:firstLineChars="126"/>
        <w:jc w:val="both"/>
        <w:rPr>
          <w:rFonts w:cs="Calibri"/>
          <w:sz w:val="24"/>
          <w:szCs w:val="24"/>
          <w:lang w:val="es-CO"/>
        </w:rPr>
      </w:pPr>
      <w:r>
        <w:rPr>
          <w:rFonts w:cs="Calibri"/>
          <w:sz w:val="24"/>
          <w:szCs w:val="24"/>
          <w:lang w:val="es-CO"/>
        </w:rPr>
        <w:t xml:space="preserve"> </w:t>
      </w:r>
    </w:p>
    <w:p w:rsidR="00527B8C" w:rsidRDefault="00212A57" w14:paraId="743E3D6F" w14:textId="77777777">
      <w:pPr>
        <w:spacing w:after="0" w:line="360" w:lineRule="auto"/>
        <w:ind w:firstLine="302" w:firstLineChars="126"/>
        <w:jc w:val="both"/>
        <w:rPr>
          <w:rFonts w:cs="Calibri"/>
          <w:sz w:val="24"/>
          <w:szCs w:val="24"/>
          <w:lang w:val="es-CO"/>
        </w:rPr>
      </w:pPr>
      <w:r>
        <w:rPr>
          <w:rFonts w:cs="Calibri"/>
          <w:sz w:val="24"/>
          <w:szCs w:val="24"/>
          <w:lang w:val="es-CO"/>
        </w:rPr>
        <w:t xml:space="preserve">Es así como, desde una perspectiva técnica de planificación territorial, resulta evidente que las actividades de extracción de materiales pueden entrar en conflicto con otros usos del territorio, incluyendo la agricultura, pesca, turismo rural y prácticas culturales tradicionales. Estas tensiones generadas entre diferentes formas de uso y ocupación del espacio reflejan no sólo la competencia por los recursos, sino también la necesidad de enfoques de gestión que integren otras perspectivas y enfoques frente </w:t>
      </w:r>
      <w:r>
        <w:rPr>
          <w:rFonts w:cs="Calibri"/>
          <w:sz w:val="24"/>
          <w:szCs w:val="24"/>
          <w:lang w:val="es-CO"/>
        </w:rPr>
        <w:t>a la problemática. Una adecuada planificación en la regulación ambiental y en el ordenamiento territorial debe considerar la interdependencia entre los sistemas fluviales, la biodiversidad, la salud humana y el desarrollo socioeconómico y cultural de las comunidades que dependen fundamentalmente de la calidad y acceso del recurso hídrico.</w:t>
      </w:r>
    </w:p>
    <w:p w:rsidR="00527B8C" w:rsidRDefault="00527B8C" w14:paraId="12C7BB32" w14:textId="77777777">
      <w:pPr>
        <w:spacing w:after="0" w:line="360" w:lineRule="auto"/>
        <w:ind w:firstLine="302" w:firstLineChars="126"/>
        <w:jc w:val="both"/>
        <w:rPr>
          <w:rFonts w:cs="Calibri"/>
          <w:sz w:val="24"/>
          <w:szCs w:val="24"/>
          <w:lang w:val="es-CO"/>
        </w:rPr>
      </w:pPr>
    </w:p>
    <w:p w:rsidR="00527B8C" w:rsidRDefault="00212A57" w14:paraId="136527FC" w14:textId="77777777">
      <w:pPr>
        <w:spacing w:after="0" w:line="360" w:lineRule="auto"/>
        <w:ind w:firstLine="302" w:firstLineChars="126"/>
        <w:jc w:val="both"/>
        <w:rPr>
          <w:rFonts w:cs="Calibri"/>
          <w:sz w:val="24"/>
          <w:szCs w:val="24"/>
          <w:lang w:val="es-CO"/>
        </w:rPr>
      </w:pPr>
      <w:r>
        <w:rPr>
          <w:rFonts w:cs="Calibri"/>
          <w:sz w:val="24"/>
          <w:szCs w:val="24"/>
          <w:lang w:val="es-CO"/>
        </w:rPr>
        <w:t xml:space="preserve"> Los casos presentados en los departamentos del Guaviare y Putumayo evidencian que las percepciones comunitarias sobre la minería de arrastre están profundamente influenciadas por la convicción de que estas actividades degradan el entorno y deterioran la calidad de vida local. En este caso, la relación entre los datos ambientales y las percepciones de los habitantes subraya la importancia de integrar los saberes locales, la gestión participativa y construcción de soluciones adecuadas y sostenibles en los te</w:t>
      </w:r>
      <w:r>
        <w:rPr>
          <w:rFonts w:cs="Calibri"/>
          <w:sz w:val="24"/>
          <w:szCs w:val="24"/>
          <w:lang w:val="es-CO"/>
        </w:rPr>
        <w:t xml:space="preserve">rritorios afectados. La articulación entre comunidades y las autoridades locales, así como del nivel nacional, es un componente clave para promover estrategias de manejo que superen enfoques puramente técnicos y que reconozcan las demandas sociales que emergen de los impactos evidenciados en ambos casos. </w:t>
      </w:r>
    </w:p>
    <w:p w:rsidR="00527B8C" w:rsidRDefault="00212A57" w14:paraId="2ABBB894" w14:textId="77777777">
      <w:pPr>
        <w:spacing w:after="0" w:line="360" w:lineRule="auto"/>
        <w:ind w:firstLine="302" w:firstLineChars="126"/>
        <w:jc w:val="both"/>
        <w:rPr>
          <w:rFonts w:cs="Calibri"/>
          <w:sz w:val="24"/>
          <w:szCs w:val="24"/>
          <w:lang w:val="es-CO"/>
        </w:rPr>
      </w:pPr>
      <w:r>
        <w:rPr>
          <w:rFonts w:cs="Calibri"/>
          <w:sz w:val="24"/>
          <w:szCs w:val="24"/>
          <w:lang w:val="es-CO"/>
        </w:rPr>
        <w:t xml:space="preserve"> </w:t>
      </w:r>
    </w:p>
    <w:p w:rsidR="00527B8C" w:rsidRDefault="00212A57" w14:paraId="7EA4CAEC" w14:textId="77777777">
      <w:pPr>
        <w:spacing w:after="0" w:line="360" w:lineRule="auto"/>
        <w:ind w:firstLine="302" w:firstLineChars="126"/>
        <w:jc w:val="both"/>
        <w:rPr>
          <w:rFonts w:cs="Calibri"/>
          <w:sz w:val="24"/>
          <w:szCs w:val="24"/>
          <w:lang w:val="es-CO"/>
        </w:rPr>
      </w:pPr>
      <w:r w:rsidRPr="53DEF7DD" w:rsidR="670101B5">
        <w:rPr>
          <w:rFonts w:cs="Calibri"/>
          <w:sz w:val="24"/>
          <w:szCs w:val="24"/>
          <w:lang w:val="es-CO"/>
        </w:rPr>
        <w:t xml:space="preserve">En conjunto, los impactos sociales y ambientales identificados en ambos departamentos muestran que la explotación de materiales de arrastre, sin establecer mecanismos de regulación y control del cumplimiento normativo en el desarrollo de estas actividades, transforman la vida de las comunidades que dependen de los ecosistemas fluviales amazónicos, deterioran las prácticas culturales y productivas tradicionales e intensifican tensiones territoriales y comunitarias. Estos hallazgos evidencian la necesidad de </w:t>
      </w:r>
      <w:r w:rsidRPr="53DEF7DD" w:rsidR="670101B5">
        <w:rPr>
          <w:rFonts w:cs="Calibri"/>
          <w:sz w:val="24"/>
          <w:szCs w:val="24"/>
          <w:lang w:val="es-CO"/>
        </w:rPr>
        <w:t>fortalecer los procesos de monitoreo ambiental, la gestión participativa del territorio y los mecanismos de restauración ecológica que incorporen las perspectivas de las comunidades afectadas, asegurando la protección de los ríos y la sostenibilidad de los modos de vida locales.</w:t>
      </w:r>
    </w:p>
    <w:p w:rsidR="53DEF7DD" w:rsidP="53DEF7DD" w:rsidRDefault="53DEF7DD" w14:paraId="7EEA8FF7" w14:textId="1ED54B2F">
      <w:pPr>
        <w:spacing w:after="0" w:line="360" w:lineRule="auto"/>
        <w:ind w:firstLine="302" w:firstLineChars="126"/>
        <w:jc w:val="both"/>
        <w:rPr>
          <w:rFonts w:cs="Calibri"/>
          <w:sz w:val="24"/>
          <w:szCs w:val="24"/>
          <w:lang w:val="es-CO"/>
        </w:rPr>
      </w:pPr>
    </w:p>
    <w:p w:rsidR="00527B8C" w:rsidP="53DEF7DD" w:rsidRDefault="00527B8C" w14:paraId="7DFAB4F1" w14:textId="16BB7203">
      <w:pPr>
        <w:pStyle w:val="Ttulo4"/>
        <w:suppressLineNumbers w:val="0"/>
        <w:bidi w:val="0"/>
        <w:spacing w:before="200" w:beforeAutospacing="off" w:after="0" w:afterAutospacing="off" w:line="360" w:lineRule="auto"/>
        <w:ind w:left="0" w:right="0"/>
        <w:jc w:val="both"/>
        <w:rPr>
          <w:sz w:val="24"/>
          <w:szCs w:val="24"/>
          <w:lang w:val="es-CO"/>
        </w:rPr>
      </w:pPr>
      <w:bookmarkStart w:name="_Toc1553228220" w:id="1578575575"/>
      <w:r w:rsidRPr="53DEF7DD" w:rsidR="40A4F498">
        <w:rPr>
          <w:sz w:val="24"/>
          <w:szCs w:val="24"/>
          <w:lang w:val="es-CO"/>
        </w:rPr>
        <w:t>5.3.2.2. La Movilización Social a favor del Río Hacha en Caquetá:</w:t>
      </w:r>
      <w:bookmarkEnd w:id="1578575575"/>
    </w:p>
    <w:p w:rsidR="00527B8C" w:rsidP="53DEF7DD" w:rsidRDefault="00527B8C" w14:paraId="26F240F2" w14:textId="60C67F0E">
      <w:pPr>
        <w:pStyle w:val="Normal"/>
        <w:spacing w:after="0" w:line="360" w:lineRule="auto"/>
        <w:ind w:firstLine="0"/>
        <w:jc w:val="both"/>
        <w:rPr>
          <w:rFonts w:cs="Calibri"/>
          <w:sz w:val="24"/>
          <w:szCs w:val="24"/>
          <w:lang w:val="es-CO"/>
        </w:rPr>
      </w:pPr>
    </w:p>
    <w:p w:rsidR="00527B8C" w:rsidP="53DEF7DD" w:rsidRDefault="00527B8C" w14:paraId="2DD31461" w14:textId="4AE40403">
      <w:pPr>
        <w:pStyle w:val="Normal"/>
        <w:spacing w:after="0" w:line="360" w:lineRule="auto"/>
        <w:ind w:firstLine="720"/>
        <w:jc w:val="both"/>
      </w:pPr>
      <w:r w:rsidRPr="53DEF7DD" w:rsidR="40A4F498">
        <w:rPr>
          <w:rFonts w:cs="Calibri"/>
          <w:sz w:val="24"/>
          <w:szCs w:val="24"/>
          <w:lang w:val="es-ES"/>
        </w:rPr>
        <w:t xml:space="preserve">El conflicto socioambiental alrededor del Río Hacha, en el municipio de Florencia, departamento del Caquetá, encarna una disputa profunda entre una comunidad que defiende su territorio y proyectos extractivos que amenazan sus fuentes de vida. El Río Hacha es un cauce estratégico para la región: abastece de agua potable a la ciudad de Florencia, sostiene actividades recreativas, agrícolas y económicas, y forma parte de una cuenca que ha sido objeto de atención por su vulnerabilidad frente al cambio climático y la intervención </w:t>
      </w:r>
      <w:r w:rsidRPr="53DEF7DD" w:rsidR="40A4F498">
        <w:rPr>
          <w:rFonts w:cs="Calibri"/>
          <w:sz w:val="24"/>
          <w:szCs w:val="24"/>
          <w:lang w:val="es-ES"/>
        </w:rPr>
        <w:t>humana.</w:t>
      </w:r>
      <w:r w:rsidRPr="53DEF7DD">
        <w:rPr>
          <w:rStyle w:val="Refdenotaalpie"/>
          <w:rFonts w:cs="Calibri"/>
          <w:sz w:val="24"/>
          <w:szCs w:val="24"/>
          <w:lang w:val="es-ES"/>
        </w:rPr>
        <w:footnoteReference w:id="28614"/>
      </w:r>
      <w:r w:rsidRPr="53DEF7DD" w:rsidR="40A4F498">
        <w:rPr>
          <w:rFonts w:cs="Calibri"/>
          <w:sz w:val="24"/>
          <w:szCs w:val="24"/>
          <w:lang w:val="es-ES"/>
        </w:rPr>
        <w:t xml:space="preserve"> </w:t>
      </w:r>
    </w:p>
    <w:p w:rsidR="00527B8C" w:rsidP="53DEF7DD" w:rsidRDefault="00527B8C" w14:paraId="05B6005A" w14:textId="2CEDAE27">
      <w:pPr>
        <w:pStyle w:val="Normal"/>
        <w:spacing w:after="0" w:line="360" w:lineRule="auto"/>
        <w:ind w:firstLine="720"/>
        <w:jc w:val="both"/>
        <w:rPr>
          <w:rFonts w:cs="Calibri"/>
          <w:sz w:val="24"/>
          <w:szCs w:val="24"/>
          <w:lang w:val="es-CO"/>
        </w:rPr>
      </w:pPr>
    </w:p>
    <w:p w:rsidR="00527B8C" w:rsidP="53DEF7DD" w:rsidRDefault="00527B8C" w14:paraId="2CC041E7" w14:textId="37E66179">
      <w:pPr>
        <w:pStyle w:val="Normal"/>
        <w:spacing w:after="0" w:line="360" w:lineRule="auto"/>
        <w:ind w:firstLine="720"/>
        <w:jc w:val="both"/>
      </w:pPr>
      <w:r w:rsidRPr="53DEF7DD" w:rsidR="40A4F498">
        <w:rPr>
          <w:rFonts w:cs="Calibri"/>
          <w:sz w:val="24"/>
          <w:szCs w:val="24"/>
          <w:lang w:val="es-CO"/>
        </w:rPr>
        <w:t xml:space="preserve">El conflicto se origina con el proyecto de explotación de materiales de arrastre promovido por el Grupo Empresarial Edificar ZOMAC S.A.S. mediante el contrato de concesión minera No. KIN-08181, el cual pretendía desarrollarse por un periodo de treinta años sobre una de las principales fuentes hídricas del municipio, el Río Hacha, en un área de 28.372 ha. </w:t>
      </w:r>
    </w:p>
    <w:p w:rsidR="00527B8C" w:rsidP="53DEF7DD" w:rsidRDefault="00527B8C" w14:paraId="298A63F1" w14:textId="745958A4">
      <w:pPr>
        <w:pStyle w:val="Normal"/>
        <w:spacing w:after="0" w:line="360" w:lineRule="auto"/>
        <w:ind w:firstLine="720"/>
        <w:jc w:val="both"/>
        <w:rPr>
          <w:rFonts w:cs="Calibri"/>
          <w:sz w:val="24"/>
          <w:szCs w:val="24"/>
          <w:lang w:val="es-CO"/>
        </w:rPr>
      </w:pPr>
    </w:p>
    <w:p w:rsidR="00527B8C" w:rsidP="53DEF7DD" w:rsidRDefault="00527B8C" w14:paraId="76158625" w14:textId="1726CF24">
      <w:pPr>
        <w:pStyle w:val="Normal"/>
        <w:spacing w:after="0" w:line="360" w:lineRule="auto"/>
        <w:ind w:firstLine="720"/>
        <w:jc w:val="both"/>
      </w:pPr>
      <w:r w:rsidRPr="53DEF7DD" w:rsidR="46314A6C">
        <w:rPr>
          <w:rFonts w:cs="Calibri"/>
          <w:sz w:val="24"/>
          <w:szCs w:val="24"/>
          <w:lang w:val="es-CO"/>
        </w:rPr>
        <w:t xml:space="preserve">La intención de desarrollar un proyecto de explotación de materiales de arrastre en las márgenes del río generó alarma entre comunidades locales y organizaciones ciudadanas, que señalaron el riesgo de deterioro irreversible de la calidad del agua, la afectación de ecosistemas frágiles y la alteración de modos de vida que dependen directamente de la integridad del río. Es así como la comunidad de la vereda Primavera, junto con organizaciones sociales y habitantes urbanos y rurales de Florencia, manifestó que dicho proyecto representaba una amenaza grave al ecosistema del río Hacha, afectando no solo el derecho colectivo al ambiente sano, sino también derechos fundamentales como la participación ciudadana, el debido proceso y el acceso al agua como bien esencial, por lo que la eventual explotación minera fue percibida como una afectación directa a las formas de vida locales y a la sostenibilidad ambiental del municipio, generando un conflicto entre los intereses extractivos y la defensa comunitaria del territorio, que se tradujo en la instauración de </w:t>
      </w:r>
      <w:r w:rsidRPr="53DEF7DD" w:rsidR="5840BF50">
        <w:rPr>
          <w:rFonts w:cs="Calibri"/>
          <w:sz w:val="24"/>
          <w:szCs w:val="24"/>
          <w:lang w:val="es-CO"/>
        </w:rPr>
        <w:t xml:space="preserve">una acción de </w:t>
      </w:r>
      <w:r w:rsidRPr="53DEF7DD" w:rsidR="46314A6C">
        <w:rPr>
          <w:rFonts w:cs="Calibri"/>
          <w:sz w:val="24"/>
          <w:szCs w:val="24"/>
          <w:lang w:val="es-CO"/>
        </w:rPr>
        <w:t>tutela por parte de la comunidad.</w:t>
      </w:r>
      <w:r w:rsidRPr="53DEF7DD">
        <w:rPr>
          <w:rStyle w:val="Refdenotaalpie"/>
          <w:rFonts w:cs="Calibri"/>
          <w:sz w:val="24"/>
          <w:szCs w:val="24"/>
          <w:lang w:val="es-CO"/>
        </w:rPr>
        <w:footnoteReference w:id="17410"/>
      </w:r>
      <w:r w:rsidRPr="53DEF7DD" w:rsidR="46314A6C">
        <w:rPr>
          <w:rFonts w:cs="Calibri"/>
          <w:sz w:val="24"/>
          <w:szCs w:val="24"/>
          <w:lang w:val="es-CO"/>
        </w:rPr>
        <w:t xml:space="preserve"> </w:t>
      </w:r>
    </w:p>
    <w:p w:rsidR="00527B8C" w:rsidP="53DEF7DD" w:rsidRDefault="00527B8C" w14:paraId="72A43922" w14:textId="099468B2">
      <w:pPr>
        <w:pStyle w:val="Normal"/>
        <w:spacing w:after="0" w:line="360" w:lineRule="auto"/>
        <w:ind w:firstLine="720"/>
        <w:jc w:val="both"/>
        <w:rPr>
          <w:rFonts w:cs="Calibri"/>
          <w:sz w:val="24"/>
          <w:szCs w:val="24"/>
          <w:lang w:val="es-CO"/>
        </w:rPr>
      </w:pPr>
    </w:p>
    <w:p w:rsidR="00527B8C" w:rsidP="53DEF7DD" w:rsidRDefault="00527B8C" w14:paraId="619A214F" w14:textId="12A0F72A">
      <w:pPr>
        <w:pStyle w:val="Normal"/>
        <w:spacing w:after="0" w:line="360" w:lineRule="auto"/>
        <w:ind w:firstLine="720"/>
        <w:jc w:val="both"/>
      </w:pPr>
      <w:r w:rsidRPr="53DEF7DD" w:rsidR="40A4F498">
        <w:rPr>
          <w:rFonts w:cs="Calibri"/>
          <w:sz w:val="24"/>
          <w:szCs w:val="24"/>
          <w:lang w:val="es-ES"/>
        </w:rPr>
        <w:t xml:space="preserve">De acuerdo en la sentencia de tutela del Juzgado Quinto Administrativo de Florencia, desde el punto de vista normativo, el proceso evidenció importantes falencias. Si bien la empresa contaba con un título minero válido y con un Programa de Trabajos y Obras aprobado por la Agencia Nacional de Minería, no podía iniciar actividades de explotación sin contar con licencia ambiental, la cual se encontraba en trámite ante CORPOAMAZONIA. Sin embargo, el juzgado constató que la autoridad ambiental no respondió oportunamente a los requerimientos judiciales ni acreditó de manera clara el estado del trámite, lo que vulneró los principios de transparencia, precaución y control ambiental. </w:t>
      </w:r>
      <w:r w:rsidRPr="53DEF7DD" w:rsidR="40A4F498">
        <w:rPr>
          <w:rFonts w:cs="Calibri"/>
          <w:sz w:val="24"/>
          <w:szCs w:val="24"/>
          <w:lang w:val="es-ES"/>
        </w:rPr>
        <w:t>Asimismo, aunque la Dirección de la Autoridad Nacional de Consulta Previa determinó que no procedía consulta previa con comunidades étnicas, el fallo enfatizó que esta decisión no eximía a la empresa ni a las autoridades de garantizar mecanismos efectivos de participación ciudadana para las comunidades no étnicas, obligación que no se cumplió adecuadamente.</w:t>
      </w:r>
      <w:r w:rsidRPr="53DEF7DD" w:rsidR="40A4F498">
        <w:rPr>
          <w:rFonts w:cs="Calibri"/>
          <w:sz w:val="24"/>
          <w:szCs w:val="24"/>
          <w:lang w:val="es-ES"/>
        </w:rPr>
        <w:t xml:space="preserve"> Las reuniones de socialización realizadas por el Grupo Empresarial Edificar ZOMAC S.A.S. fueron consideradas insuficientes y carentes de legitimidad comunitaria, pues no contaron con el consentimiento informado de la asamblea de la vereda ni con una socialización amplia en el municipio de Florencia, configurándose así una vulneración al debido proceso participativo </w:t>
      </w:r>
      <w:r w:rsidRPr="53DEF7DD" w:rsidR="40A4F498">
        <w:rPr>
          <w:rFonts w:cs="Calibri"/>
          <w:sz w:val="24"/>
          <w:szCs w:val="24"/>
          <w:lang w:val="es-ES"/>
        </w:rPr>
        <w:t>ambiental.</w:t>
      </w:r>
      <w:r w:rsidRPr="53DEF7DD">
        <w:rPr>
          <w:rStyle w:val="Refdenotaalpie"/>
          <w:rFonts w:cs="Calibri"/>
          <w:sz w:val="24"/>
          <w:szCs w:val="24"/>
          <w:lang w:val="es-ES"/>
        </w:rPr>
        <w:footnoteReference w:id="22809"/>
      </w:r>
      <w:r w:rsidRPr="53DEF7DD" w:rsidR="40A4F498">
        <w:rPr>
          <w:rFonts w:cs="Calibri"/>
          <w:sz w:val="24"/>
          <w:szCs w:val="24"/>
          <w:lang w:val="es-ES"/>
        </w:rPr>
        <w:t xml:space="preserve"> </w:t>
      </w:r>
    </w:p>
    <w:p w:rsidR="00527B8C" w:rsidP="53DEF7DD" w:rsidRDefault="00527B8C" w14:paraId="40348AC6" w14:textId="4AB9C9D8">
      <w:pPr>
        <w:pStyle w:val="Normal"/>
        <w:spacing w:after="0" w:line="360" w:lineRule="auto"/>
        <w:ind w:firstLine="720"/>
        <w:jc w:val="both"/>
        <w:rPr>
          <w:rFonts w:cs="Calibri"/>
          <w:sz w:val="24"/>
          <w:szCs w:val="24"/>
          <w:lang w:val="es-CO"/>
        </w:rPr>
      </w:pPr>
    </w:p>
    <w:p w:rsidR="00527B8C" w:rsidP="53DEF7DD" w:rsidRDefault="00527B8C" w14:paraId="68EB3639" w14:textId="7558F23D">
      <w:pPr>
        <w:pStyle w:val="Normal"/>
        <w:spacing w:after="0" w:line="360" w:lineRule="auto"/>
        <w:ind w:firstLine="720"/>
        <w:jc w:val="both"/>
        <w:rPr>
          <w:rFonts w:cs="Calibri"/>
          <w:sz w:val="24"/>
          <w:szCs w:val="24"/>
          <w:lang w:val="es-CO"/>
        </w:rPr>
      </w:pPr>
      <w:r w:rsidRPr="53DEF7DD" w:rsidR="40A4F498">
        <w:rPr>
          <w:rFonts w:cs="Calibri"/>
          <w:sz w:val="24"/>
          <w:szCs w:val="24"/>
          <w:lang w:val="es-CO"/>
        </w:rPr>
        <w:t>Por lo anterior, se declaró procedente el amparo constitucional al considerar que existía una amenaza real a los derechos fundamentales al ambiente sano, a la participación y al debido proceso de la comunidad accionante. El despacho judicial concluyó que, aun cuando no se hubieran iniciado actividades de explotación minera, el trámite adelantado por la empresa y la falta de actuación clara de CORPOAMAZONIA generaban un riesgo cierto y actual para el ecosistema del río Hacha y para los derechos de la población. En consecuencia, ordenó proteger los derechos invocados, resaltando que los proyectos extractivos deben someterse a estándares estrictos de participación democrática, información oportuna y evaluación ambiental rigurosa, especialmente cuando se trata de fuentes hídricas estratégicas para un municipio amazónico como Florencia, además, ordeno a CORPOAMAZONIA, elaborar un estudio que “identifique impactos territoriales, ambientales, sociales, económicos y culturales que pueden derivarse para los habitantes del municipio de Florencia, y particularmente, de las comunidades rurales de la cuenca del río Hacha, de la autorización para explotación de recursos naturales no renovables (yacimiento de materiales de construcción)”.</w:t>
      </w:r>
      <w:r w:rsidRPr="53DEF7DD">
        <w:rPr>
          <w:rStyle w:val="Refdenotaalpie"/>
          <w:rFonts w:cs="Calibri"/>
          <w:sz w:val="24"/>
          <w:szCs w:val="24"/>
          <w:lang w:val="es-CO"/>
        </w:rPr>
        <w:footnoteReference w:id="6810"/>
      </w:r>
    </w:p>
    <w:p w:rsidR="00527B8C" w:rsidP="53DEF7DD" w:rsidRDefault="00527B8C" w14:paraId="427BBB95" w14:textId="1A913EC0">
      <w:pPr>
        <w:pStyle w:val="Normal"/>
        <w:spacing w:after="0" w:line="360" w:lineRule="auto"/>
        <w:ind w:firstLine="720"/>
        <w:jc w:val="both"/>
        <w:rPr>
          <w:rFonts w:cs="Calibri"/>
          <w:sz w:val="24"/>
          <w:szCs w:val="24"/>
          <w:lang w:val="es-CO"/>
        </w:rPr>
      </w:pPr>
    </w:p>
    <w:p w:rsidR="00527B8C" w:rsidP="53DEF7DD" w:rsidRDefault="00527B8C" w14:paraId="6B3A493C" w14:textId="37069846">
      <w:pPr>
        <w:pStyle w:val="Normal"/>
        <w:spacing w:after="0" w:line="360" w:lineRule="auto"/>
        <w:ind w:firstLine="720"/>
        <w:jc w:val="both"/>
        <w:rPr>
          <w:rFonts w:cs="Calibri"/>
          <w:sz w:val="24"/>
          <w:szCs w:val="24"/>
          <w:lang w:val="es-ES"/>
        </w:rPr>
      </w:pPr>
      <w:r w:rsidRPr="53DEF7DD" w:rsidR="40A4F498">
        <w:rPr>
          <w:rFonts w:cs="Calibri"/>
          <w:sz w:val="24"/>
          <w:szCs w:val="24"/>
          <w:lang w:val="es-ES"/>
        </w:rPr>
        <w:t xml:space="preserve">Tras los resultados de la acción judicial, las comunidades ribereñas y grupos ambientalistas no solo visibilizaron la amenaza concreta al agua y a la biodiversidad, sino que también pusieron en el centro del conflicto el derecho a decidir sobre el futuro de su territorio, a participar en los procesos que lo afectan y a defender colectivamente sus bienes comunes. A través de acciones colectivas, protestas públicas y la incidencia ante las autoridades municipales, la ciudadanía expresó su rechazo al proyecto extractivo y exigió mayor protagonismo en decisiones que impactan su entorno natural y </w:t>
      </w:r>
      <w:r w:rsidRPr="53DEF7DD" w:rsidR="40A4F498">
        <w:rPr>
          <w:rFonts w:cs="Calibri"/>
          <w:sz w:val="24"/>
          <w:szCs w:val="24"/>
          <w:lang w:val="es-ES"/>
        </w:rPr>
        <w:t>social</w:t>
      </w:r>
      <w:r w:rsidRPr="53DEF7DD" w:rsidR="40A4F498">
        <w:rPr>
          <w:rFonts w:cs="Calibri"/>
          <w:sz w:val="24"/>
          <w:szCs w:val="24"/>
          <w:lang w:val="es-ES"/>
        </w:rPr>
        <w:t>.</w:t>
      </w:r>
      <w:r w:rsidRPr="53DEF7DD">
        <w:rPr>
          <w:rStyle w:val="Refdenotaalpie"/>
          <w:rFonts w:cs="Calibri"/>
          <w:sz w:val="24"/>
          <w:szCs w:val="24"/>
          <w:lang w:val="es-ES"/>
        </w:rPr>
        <w:footnoteReference w:id="12151"/>
      </w:r>
    </w:p>
    <w:p w:rsidR="00527B8C" w:rsidP="53DEF7DD" w:rsidRDefault="00527B8C" w14:paraId="1714CD6D" w14:textId="02CC84BA">
      <w:pPr>
        <w:pStyle w:val="Normal"/>
        <w:spacing w:after="0" w:line="360" w:lineRule="auto"/>
        <w:ind w:firstLine="720"/>
        <w:jc w:val="both"/>
        <w:rPr>
          <w:rFonts w:cs="Calibri"/>
          <w:sz w:val="24"/>
          <w:szCs w:val="24"/>
          <w:lang w:val="es-CO"/>
        </w:rPr>
      </w:pPr>
    </w:p>
    <w:p w:rsidR="00527B8C" w:rsidP="53DEF7DD" w:rsidRDefault="00527B8C" w14:paraId="47482806" w14:textId="0F36F5BC">
      <w:pPr>
        <w:pStyle w:val="Normal"/>
        <w:spacing w:after="0" w:line="360" w:lineRule="auto"/>
        <w:ind w:firstLine="720"/>
        <w:jc w:val="both"/>
      </w:pPr>
      <w:r w:rsidRPr="53DEF7DD" w:rsidR="40A4F498">
        <w:rPr>
          <w:rFonts w:cs="Calibri"/>
          <w:sz w:val="24"/>
          <w:szCs w:val="24"/>
          <w:lang w:val="es-CO"/>
        </w:rPr>
        <w:t>La resistencia comunitaria frente al proyecto minero fue un ejemplo claro de cómo la movilización social puede articularse para defender derechos ambientales y culturales. Desde diferentes sectores de Florencia, líderes y lideresas, juntas de acción comunal, organizaciones ambientales y habitantes de barrios y veredas participaron activamente en asambleas, campañas de comunicación, pronunciamientos públicos e interlocución con instituciones locales para exigir claridad, transparencia y protección del Río Hacha. Esta reacción social se articuló en torno a la idea de que el río no es solo un recurso natural, sino un elemento esencial del tejido social, económico y cultural de la región, cuya degradación pondría en riesgo no solo el ambiente, sino la seguridad hídrica y la salud de miles de personas.</w:t>
      </w:r>
      <w:r w:rsidRPr="53DEF7DD">
        <w:rPr>
          <w:rStyle w:val="Refdenotaalpie"/>
          <w:rFonts w:cs="Calibri"/>
          <w:sz w:val="24"/>
          <w:szCs w:val="24"/>
          <w:lang w:val="es-CO"/>
        </w:rPr>
        <w:footnoteReference w:id="4989"/>
      </w:r>
      <w:r w:rsidRPr="53DEF7DD" w:rsidR="40A4F498">
        <w:rPr>
          <w:rFonts w:cs="Calibri"/>
          <w:sz w:val="24"/>
          <w:szCs w:val="24"/>
          <w:lang w:val="es-CO"/>
        </w:rPr>
        <w:t xml:space="preserve"> La presión social logró instalar el tema en la agenda pública del municipio y del departamento, llevando a instancias administrativas y judiciales la defensa de una gestión ambiental más participativa y protectora.</w:t>
      </w:r>
    </w:p>
    <w:p w:rsidR="00527B8C" w:rsidP="53DEF7DD" w:rsidRDefault="00527B8C" w14:paraId="74668622" w14:textId="0EB5E270">
      <w:pPr>
        <w:pStyle w:val="Normal"/>
        <w:spacing w:after="0" w:line="360" w:lineRule="auto"/>
        <w:ind w:firstLine="720"/>
        <w:jc w:val="both"/>
        <w:rPr>
          <w:rFonts w:cs="Calibri"/>
          <w:sz w:val="24"/>
          <w:szCs w:val="24"/>
          <w:lang w:val="es-CO"/>
        </w:rPr>
      </w:pPr>
    </w:p>
    <w:p w:rsidR="00527B8C" w:rsidP="53DEF7DD" w:rsidRDefault="00527B8C" w14:paraId="01D05016" w14:textId="7C1252E2">
      <w:pPr>
        <w:pStyle w:val="Normal"/>
        <w:spacing w:after="0" w:line="360" w:lineRule="auto"/>
        <w:ind w:firstLine="720"/>
        <w:jc w:val="both"/>
      </w:pPr>
      <w:r w:rsidRPr="53DEF7DD" w:rsidR="40A4F498">
        <w:rPr>
          <w:rFonts w:cs="Calibri"/>
          <w:sz w:val="24"/>
          <w:szCs w:val="24"/>
          <w:lang w:val="es-CO"/>
        </w:rPr>
        <w:t xml:space="preserve">El conflicto también se insertó en un contexto más amplio de disputa territorial en la Amazonía colombiana, donde ríos y territorios han sido afectados por intervenciones extractivas, presencia de grupos armados y actividades ilícitas que complican la vida cotidiana de las comunidades locales e indígenas y multiplican sus esfuerzos por proteger sus entornos naturales. </w:t>
      </w:r>
    </w:p>
    <w:p w:rsidR="00527B8C" w:rsidP="53DEF7DD" w:rsidRDefault="00527B8C" w14:paraId="69F978D1" w14:textId="6EA5B8F3">
      <w:pPr>
        <w:pStyle w:val="Normal"/>
        <w:spacing w:after="0" w:line="360" w:lineRule="auto"/>
        <w:ind w:firstLine="720"/>
        <w:jc w:val="both"/>
        <w:rPr>
          <w:rFonts w:cs="Calibri"/>
          <w:sz w:val="24"/>
          <w:szCs w:val="24"/>
          <w:lang w:val="es-CO"/>
        </w:rPr>
      </w:pPr>
    </w:p>
    <w:p w:rsidR="00527B8C" w:rsidP="53DEF7DD" w:rsidRDefault="00527B8C" w14:paraId="2F8BD71D" w14:textId="73DA8970">
      <w:pPr>
        <w:pStyle w:val="Normal"/>
        <w:spacing w:after="0" w:line="360" w:lineRule="auto"/>
        <w:ind w:firstLine="720"/>
        <w:jc w:val="both"/>
      </w:pPr>
      <w:r w:rsidRPr="53DEF7DD" w:rsidR="40A4F498">
        <w:rPr>
          <w:rFonts w:cs="Calibri"/>
          <w:sz w:val="24"/>
          <w:szCs w:val="24"/>
          <w:lang w:val="es-ES"/>
        </w:rPr>
        <w:t xml:space="preserve">A pesar de que CORPOAMAZONIA presentó el estudio de impacto, en el marco de la acción de tutela interpuesta por la comunidad en defensa del río, las decisiones judiciales y administrativas dieron un giro significativo al reconocer la amenaza real que representaba el proyecto para los derechos fundamentales colectivos. En diciembre de 2025, la autoridad ambiental de la región decidió archivar formalmente el trámite del proyecto de explotación que pretendía operar en el Río Hacha y cancelar la audiencia pública ambiental que estaba programada, después de que la empresa responsable presentara su desistimiento expreso del trámite de licencia </w:t>
      </w:r>
      <w:r w:rsidRPr="53DEF7DD" w:rsidR="40A4F498">
        <w:rPr>
          <w:rFonts w:cs="Calibri"/>
          <w:sz w:val="24"/>
          <w:szCs w:val="24"/>
          <w:lang w:val="es-ES"/>
        </w:rPr>
        <w:t>ambiental.</w:t>
      </w:r>
      <w:r w:rsidRPr="53DEF7DD">
        <w:rPr>
          <w:rStyle w:val="Refdenotaalpie"/>
          <w:rFonts w:cs="Calibri"/>
          <w:sz w:val="24"/>
          <w:szCs w:val="24"/>
          <w:lang w:val="es-ES"/>
        </w:rPr>
        <w:footnoteReference w:id="14120"/>
      </w:r>
      <w:r w:rsidRPr="53DEF7DD" w:rsidR="40A4F498">
        <w:rPr>
          <w:rFonts w:cs="Calibri"/>
          <w:sz w:val="24"/>
          <w:szCs w:val="24"/>
          <w:lang w:val="es-ES"/>
        </w:rPr>
        <w:t xml:space="preserve"> </w:t>
      </w:r>
    </w:p>
    <w:p w:rsidR="00527B8C" w:rsidP="53DEF7DD" w:rsidRDefault="00527B8C" w14:paraId="4FCC6077" w14:textId="2B208491">
      <w:pPr>
        <w:pStyle w:val="Normal"/>
        <w:spacing w:after="0" w:line="360" w:lineRule="auto"/>
        <w:ind w:firstLine="720"/>
        <w:jc w:val="both"/>
        <w:rPr>
          <w:rFonts w:cs="Calibri"/>
          <w:sz w:val="24"/>
          <w:szCs w:val="24"/>
          <w:lang w:val="es-CO"/>
        </w:rPr>
      </w:pPr>
    </w:p>
    <w:p w:rsidR="00527B8C" w:rsidP="53DEF7DD" w:rsidRDefault="00527B8C" w14:paraId="48F46554" w14:textId="48BF9E9E">
      <w:pPr>
        <w:pStyle w:val="Normal"/>
        <w:spacing w:after="0" w:line="360" w:lineRule="auto"/>
        <w:ind w:firstLine="720"/>
        <w:jc w:val="both"/>
        <w:rPr>
          <w:rFonts w:cs="Calibri"/>
          <w:sz w:val="24"/>
          <w:szCs w:val="24"/>
          <w:lang w:val="es-CO"/>
        </w:rPr>
      </w:pPr>
      <w:r w:rsidRPr="53DEF7DD" w:rsidR="40A4F498">
        <w:rPr>
          <w:rFonts w:cs="Calibri"/>
          <w:sz w:val="24"/>
          <w:szCs w:val="24"/>
          <w:lang w:val="es-CO"/>
        </w:rPr>
        <w:t xml:space="preserve">Este resultado no solo significó la suspensión del proyecto, sino también una victoria reivindicativa para las comunidades movilizadas, que vieron cómo su constancia, organización y utilización de mecanismos legales y sociales pudieron frenar una iniciativa percibida como potencialmente destructiva. Además, la discusión sobre la protección del río permitió avances en el reconocimiento del valor ambiental y social de la cuenca. El Concejo Municipal de Florencia aprobó un acuerdo para reconocer la cuenca del Río Hacha como sujeto de derechos, una categoría institucional que busca reforzar su protección ante futuras amenazas a su integridad ecológica. </w:t>
      </w:r>
      <w:r w:rsidRPr="53DEF7DD">
        <w:rPr>
          <w:rStyle w:val="Refdenotaalpie"/>
          <w:rFonts w:cs="Calibri"/>
          <w:sz w:val="24"/>
          <w:szCs w:val="24"/>
          <w:lang w:val="es-CO"/>
        </w:rPr>
        <w:footnoteReference w:id="32431"/>
      </w:r>
    </w:p>
    <w:p w:rsidR="00527B8C" w:rsidP="53DEF7DD" w:rsidRDefault="00527B8C" w14:paraId="0736955A" w14:textId="04B7B624">
      <w:pPr>
        <w:pStyle w:val="Normal"/>
        <w:spacing w:after="0" w:line="360" w:lineRule="auto"/>
        <w:ind w:firstLine="720"/>
        <w:jc w:val="both"/>
        <w:rPr>
          <w:rFonts w:cs="Calibri"/>
          <w:sz w:val="24"/>
          <w:szCs w:val="24"/>
          <w:lang w:val="es-CO"/>
        </w:rPr>
      </w:pPr>
    </w:p>
    <w:p w:rsidR="00527B8C" w:rsidP="53DEF7DD" w:rsidRDefault="00527B8C" w14:paraId="0CF065CA" w14:textId="3ACA52A7">
      <w:pPr>
        <w:pStyle w:val="Normal"/>
        <w:spacing w:after="0" w:line="360" w:lineRule="auto"/>
        <w:ind w:firstLine="720"/>
        <w:jc w:val="both"/>
      </w:pPr>
      <w:r w:rsidRPr="53DEF7DD" w:rsidR="40A4F498">
        <w:rPr>
          <w:rFonts w:cs="Calibri"/>
          <w:sz w:val="24"/>
          <w:szCs w:val="24"/>
          <w:lang w:val="es-CO"/>
        </w:rPr>
        <w:t>El desenlace del conflicto se traduce en un hito para Florencia y el departamento del Caquetá. El desistimiento de la empresa de continuar con el proyecto de explotación se interpretó como una victoria colectiva de las comunidades que defendieron su territorio, y como un signo de que la movilización social, junto con estrategias jurídicas y políticas, puede influir decisivamente en decisiones que afecten el ambiente y la vida de las personas. La victoria no solo preservó una fuente vital de agua para la población, sino que también consolidó un precedente de participación ciudadana y defensa del ambiente en una región que históricamente ha tenido que lidiar con presiones extractivistas, desigualdad y retos socioambientales complejos. El Río Hacha, más que un cuerpo de agua se convirtió en un símbolo de la resiliencia comunitaria y del derecho a imaginar y construir un futuro en el que la protección del ambiente y la vida comunitaria sean ejes fundamentales de la gestión territorial.</w:t>
      </w:r>
    </w:p>
    <w:p w:rsidR="00527B8C" w:rsidP="53DEF7DD" w:rsidRDefault="00527B8C" w14:paraId="260D4E86" w14:textId="2174B83C">
      <w:pPr>
        <w:pStyle w:val="Normal"/>
        <w:spacing w:after="0" w:line="360" w:lineRule="auto"/>
        <w:ind w:firstLine="720"/>
        <w:jc w:val="both"/>
        <w:rPr>
          <w:rFonts w:cs="Calibri"/>
          <w:sz w:val="24"/>
          <w:szCs w:val="24"/>
          <w:lang w:val="es-CO"/>
        </w:rPr>
      </w:pPr>
    </w:p>
    <w:p w:rsidR="00527B8C" w:rsidP="53DEF7DD" w:rsidRDefault="00527B8C" w14:paraId="334544B8" w14:textId="31CB4AEC">
      <w:pPr>
        <w:pStyle w:val="Normal"/>
        <w:spacing w:after="0" w:line="360" w:lineRule="auto"/>
        <w:ind w:firstLine="720"/>
        <w:jc w:val="both"/>
      </w:pPr>
      <w:r w:rsidRPr="53DEF7DD" w:rsidR="40A4F498">
        <w:rPr>
          <w:rFonts w:cs="Calibri"/>
          <w:sz w:val="24"/>
          <w:szCs w:val="24"/>
          <w:lang w:val="es-CO"/>
        </w:rPr>
        <w:t>El caso del río Hacha se consolidó, así como un precedente local de resistencia socioambiental, en el que la organización comunitaria, el control ciudadano y la intervención judicial lograron frenar un proyecto que ponía en riesgo un ecosistema vital para el Caquetá y para las generaciones presentes y futuras</w:t>
      </w:r>
      <w:r w:rsidRPr="53DEF7DD" w:rsidR="4D03FD10">
        <w:rPr>
          <w:rFonts w:cs="Calibri"/>
          <w:sz w:val="24"/>
          <w:szCs w:val="24"/>
          <w:lang w:val="es-CO"/>
        </w:rPr>
        <w:t>.</w:t>
      </w:r>
    </w:p>
    <w:p w:rsidR="00527B8C" w:rsidP="53DEF7DD" w:rsidRDefault="00527B8C" w14:paraId="1309B2AD" w14:textId="216967F8">
      <w:pPr>
        <w:spacing w:after="0" w:line="360" w:lineRule="auto"/>
        <w:ind w:firstLine="0"/>
        <w:jc w:val="both"/>
        <w:rPr>
          <w:rFonts w:cs="Calibri"/>
          <w:sz w:val="24"/>
          <w:szCs w:val="24"/>
          <w:lang w:val="es-CO"/>
        </w:rPr>
      </w:pPr>
    </w:p>
    <w:p w:rsidR="00527B8C" w:rsidRDefault="00212A57" w14:paraId="761862E6" w14:textId="77777777">
      <w:pPr>
        <w:pStyle w:val="Ttulo3"/>
        <w:spacing w:line="360" w:lineRule="auto"/>
        <w:ind w:firstLine="304" w:firstLineChars="126"/>
        <w:jc w:val="both"/>
        <w:rPr>
          <w:sz w:val="24"/>
          <w:szCs w:val="24"/>
          <w:lang w:val="es-CO"/>
        </w:rPr>
      </w:pPr>
      <w:bookmarkStart w:name="_Toc1483334326" w:id="154536991"/>
      <w:r w:rsidRPr="53DEF7DD" w:rsidR="670101B5">
        <w:rPr>
          <w:sz w:val="24"/>
          <w:szCs w:val="24"/>
          <w:lang w:val="es-CO"/>
        </w:rPr>
        <w:t>5.3.2. Impactos sociales:</w:t>
      </w:r>
      <w:bookmarkEnd w:id="154536991"/>
    </w:p>
    <w:p w:rsidRPr="00554C29" w:rsidR="00554C29" w:rsidP="00554C29" w:rsidRDefault="00554C29" w14:paraId="1E310633" w14:textId="77777777">
      <w:pPr>
        <w:rPr>
          <w:lang w:val="es-CO"/>
        </w:rPr>
      </w:pPr>
    </w:p>
    <w:p w:rsidR="00527B8C" w:rsidRDefault="00212A57" w14:paraId="2096F968" w14:textId="77777777">
      <w:pPr>
        <w:pStyle w:val="Prrafodelista"/>
        <w:numPr>
          <w:ilvl w:val="0"/>
          <w:numId w:val="42"/>
        </w:numPr>
        <w:spacing w:after="0" w:line="360" w:lineRule="auto"/>
        <w:ind w:left="450" w:firstLine="304" w:firstLineChars="126"/>
        <w:jc w:val="both"/>
        <w:rPr>
          <w:rFonts w:cs="Calibri"/>
          <w:sz w:val="24"/>
          <w:szCs w:val="24"/>
          <w:lang w:val="es-CO"/>
        </w:rPr>
      </w:pPr>
      <w:r>
        <w:rPr>
          <w:rFonts w:cs="Calibri"/>
          <w:b/>
          <w:bCs/>
          <w:sz w:val="24"/>
          <w:szCs w:val="24"/>
          <w:lang w:val="es-CO"/>
        </w:rPr>
        <w:t>Comunidades indígenas y rurales:</w:t>
      </w:r>
      <w:r>
        <w:rPr>
          <w:rFonts w:cs="Calibri"/>
          <w:sz w:val="24"/>
          <w:szCs w:val="24"/>
          <w:lang w:val="es-CO"/>
        </w:rPr>
        <w:t xml:space="preserve"> En Colombia, la Amazonía abarca seis departamentos completos y fracciones de otros cuatro, con más de 50 municipios y una veintena de corregimientos. Estas poblaciones, entre ellas pueblos como los Tikuna, Cocama, Yagua, Andoque, Cofán, Siona, Coreguaje, Murui y Bora, dependen de los ríos para su subsistencia. La contaminación sedimentos afecta su alimentación y salud, generando enfermedades neurológicas y crónicas. </w:t>
      </w:r>
    </w:p>
    <w:p w:rsidR="00527B8C" w:rsidRDefault="00527B8C" w14:paraId="5AEADB54" w14:textId="77777777">
      <w:pPr>
        <w:pStyle w:val="Prrafodelista"/>
        <w:spacing w:after="0" w:line="360" w:lineRule="auto"/>
        <w:ind w:left="277" w:leftChars="126"/>
        <w:jc w:val="both"/>
        <w:rPr>
          <w:rFonts w:cs="Calibri"/>
          <w:sz w:val="24"/>
          <w:szCs w:val="24"/>
          <w:lang w:val="es-CO"/>
        </w:rPr>
      </w:pPr>
    </w:p>
    <w:p w:rsidR="00527B8C" w:rsidRDefault="00212A57" w14:paraId="7EED0977" w14:textId="77777777">
      <w:pPr>
        <w:pStyle w:val="Prrafodelista"/>
        <w:numPr>
          <w:ilvl w:val="0"/>
          <w:numId w:val="42"/>
        </w:numPr>
        <w:spacing w:after="0" w:line="360" w:lineRule="auto"/>
        <w:ind w:left="450" w:firstLine="304" w:firstLineChars="126"/>
        <w:jc w:val="both"/>
        <w:rPr>
          <w:rFonts w:cs="Calibri"/>
          <w:sz w:val="24"/>
          <w:szCs w:val="24"/>
          <w:lang w:val="es-CO"/>
        </w:rPr>
      </w:pPr>
      <w:r w:rsidR="670101B5">
        <w:rPr>
          <w:rFonts w:cs="Calibri"/>
          <w:b w:val="1"/>
          <w:bCs w:val="1"/>
          <w:sz w:val="24"/>
          <w:szCs w:val="24"/>
          <w:lang w:val="es-CO"/>
        </w:rPr>
        <w:t>Conflictos territoriales:</w:t>
      </w:r>
      <w:r w:rsidR="670101B5">
        <w:rPr>
          <w:rFonts w:cs="Calibri"/>
          <w:sz w:val="24"/>
          <w:szCs w:val="24"/>
          <w:lang w:val="es-CO"/>
        </w:rPr>
        <w:t xml:space="preserve"> La minería y extracción de materiales se superpone con áreas protegidas y territorios indígenas. Se estima que el 9% de las zonas mineras en la Amazonía colombiana se ubican sobre territorios indígenas reconocidos, lo que incrementa la conflictividad socioambiental y vulnera derechos étnicos-territoriales.</w:t>
      </w:r>
      <w:r>
        <w:rPr>
          <w:rStyle w:val="Refdenotaalpie"/>
          <w:rFonts w:cs="Calibri"/>
          <w:sz w:val="24"/>
          <w:szCs w:val="24"/>
          <w:lang w:val="es-CO"/>
        </w:rPr>
        <w:footnoteReference w:id="67"/>
      </w:r>
    </w:p>
    <w:p w:rsidR="00527B8C" w:rsidRDefault="00527B8C" w14:paraId="66912645" w14:textId="77777777">
      <w:pPr>
        <w:pStyle w:val="Prrafodelista"/>
        <w:spacing w:after="0" w:line="360" w:lineRule="auto"/>
        <w:ind w:left="277" w:leftChars="126"/>
        <w:jc w:val="both"/>
        <w:rPr>
          <w:rFonts w:cs="Calibri"/>
          <w:sz w:val="24"/>
          <w:szCs w:val="24"/>
          <w:lang w:val="es-CO"/>
        </w:rPr>
      </w:pPr>
    </w:p>
    <w:p w:rsidR="00527B8C" w:rsidRDefault="00212A57" w14:paraId="697611A3" w14:textId="77777777">
      <w:pPr>
        <w:pStyle w:val="Prrafodelista"/>
        <w:numPr>
          <w:ilvl w:val="0"/>
          <w:numId w:val="42"/>
        </w:numPr>
        <w:spacing w:after="0" w:line="360" w:lineRule="auto"/>
        <w:ind w:left="450" w:firstLine="304" w:firstLineChars="126"/>
        <w:jc w:val="both"/>
        <w:rPr>
          <w:rFonts w:cs="Calibri"/>
          <w:sz w:val="24"/>
          <w:szCs w:val="24"/>
          <w:lang w:val="es-CO"/>
        </w:rPr>
      </w:pPr>
      <w:r>
        <w:rPr>
          <w:rFonts w:cs="Calibri"/>
          <w:b/>
          <w:bCs/>
          <w:sz w:val="24"/>
          <w:szCs w:val="24"/>
          <w:lang w:val="es-CO"/>
        </w:rPr>
        <w:t>Violencia y criminalidad:</w:t>
      </w:r>
      <w:r>
        <w:rPr>
          <w:rFonts w:cs="Calibri"/>
          <w:sz w:val="24"/>
          <w:szCs w:val="24"/>
          <w:lang w:val="es-CO"/>
        </w:rPr>
        <w:t xml:space="preserve"> La minería ilegal está asociada a redes criminales y economías ilícitas, generando amenazas y asesinatos de líderes indígenas que defienden sus territorios. </w:t>
      </w:r>
    </w:p>
    <w:p w:rsidR="007F32B4" w:rsidP="007F32B4" w:rsidRDefault="007F32B4" w14:paraId="034BFCCE" w14:textId="77777777">
      <w:pPr>
        <w:spacing w:after="0" w:line="360" w:lineRule="auto"/>
        <w:jc w:val="both"/>
        <w:rPr>
          <w:rFonts w:cs="Calibri"/>
          <w:b/>
          <w:bCs/>
          <w:color w:val="4F81BD" w:themeColor="accent1"/>
          <w:sz w:val="24"/>
          <w:szCs w:val="24"/>
          <w:lang w:val="es-CO"/>
        </w:rPr>
      </w:pPr>
    </w:p>
    <w:p w:rsidR="00FF6AC9" w:rsidP="53DEF7DD" w:rsidRDefault="007F32B4" w14:paraId="6247AF3A" w14:textId="77777777">
      <w:pPr>
        <w:spacing w:before="0" w:beforeAutospacing="off" w:after="0" w:afterAutospacing="off" w:line="360" w:lineRule="auto"/>
        <w:outlineLvl w:val="1"/>
        <w:rPr>
          <w:rFonts w:cs="Calibri"/>
          <w:b w:val="1"/>
          <w:bCs w:val="1"/>
          <w:color w:val="4F81BD" w:themeColor="accent1"/>
          <w:sz w:val="24"/>
          <w:szCs w:val="24"/>
          <w:lang w:val="es-CO"/>
        </w:rPr>
      </w:pPr>
      <w:bookmarkStart w:name="_Toc545106403" w:id="1703343257"/>
      <w:r w:rsidRPr="53DEF7DD" w:rsidR="19266ACC">
        <w:rPr>
          <w:rFonts w:cs="Calibri"/>
          <w:b w:val="1"/>
          <w:bCs w:val="1"/>
          <w:color w:val="4F81BD" w:themeColor="accent1" w:themeTint="FF" w:themeShade="FF"/>
          <w:sz w:val="24"/>
          <w:szCs w:val="24"/>
          <w:lang w:val="es-CO"/>
        </w:rPr>
        <w:t>5.3.</w:t>
      </w:r>
      <w:r w:rsidRPr="53DEF7DD" w:rsidR="19266ACC">
        <w:rPr>
          <w:rFonts w:cs="Calibri"/>
          <w:b w:val="1"/>
          <w:bCs w:val="1"/>
          <w:color w:val="4F81BD" w:themeColor="accent1" w:themeTint="FF" w:themeShade="FF"/>
          <w:sz w:val="24"/>
          <w:szCs w:val="24"/>
          <w:lang w:val="es-CO"/>
        </w:rPr>
        <w:t>3</w:t>
      </w:r>
      <w:r w:rsidRPr="53DEF7DD" w:rsidR="19266ACC">
        <w:rPr>
          <w:rFonts w:cs="Calibri"/>
          <w:b w:val="1"/>
          <w:bCs w:val="1"/>
          <w:color w:val="4F81BD" w:themeColor="accent1" w:themeTint="FF" w:themeShade="FF"/>
          <w:sz w:val="24"/>
          <w:szCs w:val="24"/>
          <w:lang w:val="es-CO"/>
        </w:rPr>
        <w:t xml:space="preserve">. </w:t>
      </w:r>
      <w:r w:rsidRPr="53DEF7DD" w:rsidR="25D76B84">
        <w:rPr>
          <w:rFonts w:cs="Calibri"/>
          <w:b w:val="1"/>
          <w:bCs w:val="1"/>
          <w:color w:val="4F81BD" w:themeColor="accent1" w:themeTint="FF" w:themeShade="FF"/>
          <w:sz w:val="24"/>
          <w:szCs w:val="24"/>
          <w:lang w:val="es-CO"/>
        </w:rPr>
        <w:t>Impactos en la salud por la explotación de minerales de arrastre</w:t>
      </w:r>
      <w:bookmarkEnd w:id="1703343257"/>
      <w:r w:rsidRPr="53DEF7DD" w:rsidR="25D76B84">
        <w:rPr>
          <w:rFonts w:cs="Calibri"/>
          <w:b w:val="1"/>
          <w:bCs w:val="1"/>
          <w:color w:val="4F81BD" w:themeColor="accent1" w:themeTint="FF" w:themeShade="FF"/>
          <w:sz w:val="24"/>
          <w:szCs w:val="24"/>
          <w:lang w:val="es-CO"/>
        </w:rPr>
        <w:t xml:space="preserve"> </w:t>
      </w:r>
    </w:p>
    <w:p w:rsidRPr="006E74C3" w:rsidR="006E74C3" w:rsidP="53DEF7DD" w:rsidRDefault="006E74C3" w14:paraId="5AE2B584" w14:textId="48877024">
      <w:pPr>
        <w:pStyle w:val="NormalWeb"/>
        <w:spacing w:before="0" w:beforeAutospacing="off" w:after="0" w:afterAutospacing="off" w:line="360" w:lineRule="auto"/>
        <w:ind w:firstLine="720"/>
        <w:jc w:val="both"/>
        <w:rPr>
          <w:rFonts w:ascii="Calibri" w:hAnsi="Calibri" w:cs="Calibri"/>
          <w:lang w:val="es-CO"/>
        </w:rPr>
      </w:pPr>
    </w:p>
    <w:p w:rsidRPr="006E74C3" w:rsidR="006E74C3" w:rsidP="53DEF7DD" w:rsidRDefault="006E74C3" w14:paraId="61C5D0D7" w14:textId="263E35E4">
      <w:pPr>
        <w:pStyle w:val="NormalWeb"/>
        <w:spacing w:line="360" w:lineRule="auto"/>
        <w:ind w:firstLine="720"/>
        <w:jc w:val="both"/>
        <w:rPr>
          <w:rFonts w:ascii="Calibri" w:hAnsi="Calibri" w:cs="Calibri"/>
          <w:lang w:val="es-CO"/>
        </w:rPr>
      </w:pPr>
      <w:r w:rsidRPr="53DEF7DD" w:rsidR="12D85281">
        <w:rPr>
          <w:rFonts w:ascii="Calibri" w:hAnsi="Calibri" w:cs="Calibri"/>
          <w:lang w:val="es-CO"/>
        </w:rPr>
        <w:t>La Organización Mundial de la Salud (OMS) define la salud como “un estado de completo bienestar físico, mental y social, y no solamente la ausencia de afecciones o enfermedades” (Constitución de la OMS, 1948). Esta definición permite comprender a la persona de manera integral, reconociendo que su bienestar está estrechamente vinculado al entorno ambiental, social y cultural en el que vive.</w:t>
      </w:r>
    </w:p>
    <w:p w:rsidRPr="006E74C3" w:rsidR="006E74C3" w:rsidP="006E74C3" w:rsidRDefault="006E74C3" w14:paraId="7CE9C336" w14:textId="77777777">
      <w:pPr>
        <w:pStyle w:val="NormalWeb"/>
        <w:spacing w:line="360" w:lineRule="auto"/>
        <w:jc w:val="both"/>
        <w:rPr>
          <w:rFonts w:ascii="Calibri" w:hAnsi="Calibri" w:cs="Calibri"/>
          <w:lang w:val="es-CO"/>
        </w:rPr>
      </w:pPr>
      <w:r w:rsidRPr="53DEF7DD" w:rsidR="12D85281">
        <w:rPr>
          <w:rFonts w:ascii="Calibri" w:hAnsi="Calibri" w:cs="Calibri"/>
          <w:lang w:val="es-CO"/>
        </w:rPr>
        <w:t xml:space="preserve">Desde la perspectiva de las comunidades amazónicas, este enfoque es más profundo porque la salud no se concibe únicamente como la ausencia de enfermedades, sino como un equilibrio integral que abarca lo físico, lo emocional, lo social y lo espiritual. Así, el bienestar de las personas está íntimamente ligado al río que les da sustento, al bosque que provee el bienestar y a la tierra que da todo lo que se necesita para vivir. En esta visión, cuidar del entorno natural no es solo una cuestión ecológica, sino una condición esencial para mantener la salud colectiva, el equilibrio de la comunidad y la armonía con la </w:t>
      </w:r>
      <w:r w:rsidRPr="53DEF7DD" w:rsidR="12D85281">
        <w:rPr>
          <w:rFonts w:ascii="Calibri" w:hAnsi="Calibri" w:cs="Calibri"/>
          <w:lang w:val="es-CO"/>
        </w:rPr>
        <w:t>vida,</w:t>
      </w:r>
      <w:r w:rsidRPr="53DEF7DD" w:rsidR="12D85281">
        <w:rPr>
          <w:rFonts w:ascii="Calibri" w:hAnsi="Calibri" w:cs="Calibri"/>
          <w:lang w:val="es-CO"/>
        </w:rPr>
        <w:t xml:space="preserve"> es un orden que se aprende desde el nacimiento y se trasmite generación tras generación.</w:t>
      </w:r>
    </w:p>
    <w:p w:rsidRPr="006E74C3" w:rsidR="006E74C3" w:rsidP="53DEF7DD" w:rsidRDefault="006E74C3" w14:paraId="2EF2D92B" w14:textId="13D664C7">
      <w:pPr>
        <w:spacing w:before="100" w:beforeAutospacing="on" w:after="100" w:afterAutospacing="on" w:line="360" w:lineRule="auto"/>
        <w:ind w:firstLine="720"/>
        <w:jc w:val="both"/>
        <w:rPr>
          <w:rFonts w:cs="Calibri"/>
          <w:sz w:val="24"/>
          <w:szCs w:val="24"/>
          <w:lang w:val="es-CO"/>
        </w:rPr>
      </w:pPr>
      <w:r w:rsidRPr="53DEF7DD" w:rsidR="12D85281">
        <w:rPr>
          <w:rFonts w:cs="Calibri"/>
          <w:sz w:val="24"/>
          <w:szCs w:val="24"/>
          <w:lang w:val="es-CO"/>
        </w:rPr>
        <w:t xml:space="preserve">Analizar los impactos de la minería de materiales de construcción principalmente arena, grava, piedra </w:t>
      </w:r>
      <w:r w:rsidRPr="53DEF7DD" w:rsidR="1517F7C9">
        <w:rPr>
          <w:rFonts w:cs="Calibri"/>
          <w:sz w:val="24"/>
          <w:szCs w:val="24"/>
          <w:lang w:val="es-CO"/>
        </w:rPr>
        <w:t>triturada</w:t>
      </w:r>
      <w:r w:rsidRPr="53DEF7DD" w:rsidR="12D85281">
        <w:rPr>
          <w:rFonts w:cs="Calibri"/>
          <w:sz w:val="24"/>
          <w:szCs w:val="24"/>
          <w:lang w:val="es-CO"/>
        </w:rPr>
        <w:t xml:space="preserve"> y arcilla implica reconocer que se trata de una actividad extractiva de carácter intensivo, capaz de alterar de forma significativa los ecosistemas. Si bien no existen estudios suficientes que permitan determinar con precisión el porcentaje de afectación directa en la salud de la población amazónica, se reconoce que, aunque esta actividad suele considerarse de menor escala en comparación con la minería metálica, sus impactos acumulativos sobre ríos, suelos y comunidades pueden ser relevantes. El uso de maquinaria pesada, la remoción de sedimentos y la modificación de los cauces fluviales generan efectos que, en un contexto como la Amazonía donde los ecosistemas son frágiles y las poblaciones dependen estrechamente de la naturaleza se traducen en repercusiones directas e indirectas sobre la salud humana.</w:t>
      </w:r>
    </w:p>
    <w:p w:rsidR="53DEF7DD" w:rsidP="53DEF7DD" w:rsidRDefault="53DEF7DD" w14:paraId="6D87B0F7" w14:textId="07AD2CA1">
      <w:pPr>
        <w:spacing w:beforeAutospacing="on" w:afterAutospacing="on" w:line="360" w:lineRule="auto"/>
        <w:ind w:firstLine="720"/>
        <w:jc w:val="both"/>
        <w:rPr>
          <w:rFonts w:cs="Calibri"/>
          <w:sz w:val="24"/>
          <w:szCs w:val="24"/>
          <w:lang w:val="es-CO"/>
        </w:rPr>
      </w:pPr>
    </w:p>
    <w:p w:rsidRPr="006E74C3" w:rsidR="006E74C3" w:rsidP="53DEF7DD" w:rsidRDefault="006E74C3" w14:paraId="3582057D" w14:textId="77777777">
      <w:pPr>
        <w:spacing w:before="100" w:beforeAutospacing="on" w:after="100" w:afterAutospacing="on" w:line="360" w:lineRule="auto"/>
        <w:ind w:firstLine="720"/>
        <w:jc w:val="both"/>
        <w:rPr>
          <w:rFonts w:cs="Calibri"/>
          <w:sz w:val="24"/>
          <w:szCs w:val="24"/>
          <w:lang w:val="es-CO"/>
        </w:rPr>
      </w:pPr>
      <w:r w:rsidRPr="53DEF7DD" w:rsidR="12D85281">
        <w:rPr>
          <w:rFonts w:cs="Calibri"/>
          <w:sz w:val="24"/>
          <w:szCs w:val="24"/>
          <w:lang w:val="es-CO"/>
        </w:rPr>
        <w:t xml:space="preserve">La explotación de minerales de arrastre, como arena y grava, implica una modificación directa de los cauces, riberas y planicies aluviales. Estas intervenciones transforman el paisaje y afectan su estructura ecológica y su capacidad para proveer servicios ecosistémicos esenciales, tales como la seguridad alimentaria, la calidad del agua y el bienestar emocional y espiritual de las comunidades, tal como lo señala el enfoque del Millennium </w:t>
      </w:r>
      <w:r w:rsidRPr="53DEF7DD" w:rsidR="12D85281">
        <w:rPr>
          <w:rFonts w:cs="Calibri"/>
          <w:sz w:val="24"/>
          <w:szCs w:val="24"/>
          <w:lang w:val="es-CO"/>
        </w:rPr>
        <w:t>Ecosystem</w:t>
      </w:r>
      <w:r w:rsidRPr="53DEF7DD" w:rsidR="12D85281">
        <w:rPr>
          <w:rFonts w:cs="Calibri"/>
          <w:sz w:val="24"/>
          <w:szCs w:val="24"/>
          <w:lang w:val="es-CO"/>
        </w:rPr>
        <w:t xml:space="preserve"> </w:t>
      </w:r>
      <w:r w:rsidRPr="53DEF7DD" w:rsidR="12D85281">
        <w:rPr>
          <w:rFonts w:cs="Calibri"/>
          <w:sz w:val="24"/>
          <w:szCs w:val="24"/>
          <w:lang w:val="es-CO"/>
        </w:rPr>
        <w:t>Assessment</w:t>
      </w:r>
      <w:r w:rsidRPr="53DEF7DD" w:rsidR="12D85281">
        <w:rPr>
          <w:rFonts w:cs="Calibri"/>
          <w:sz w:val="24"/>
          <w:szCs w:val="24"/>
          <w:lang w:val="es-CO"/>
        </w:rPr>
        <w:t xml:space="preserve"> (2005).</w:t>
      </w:r>
    </w:p>
    <w:p w:rsidR="53DEF7DD" w:rsidP="53DEF7DD" w:rsidRDefault="53DEF7DD" w14:paraId="091C4B1E" w14:textId="6BC89CF0">
      <w:pPr>
        <w:spacing w:beforeAutospacing="on" w:afterAutospacing="on" w:line="360" w:lineRule="auto"/>
        <w:ind w:firstLine="720"/>
        <w:jc w:val="both"/>
        <w:rPr>
          <w:rFonts w:cs="Calibri"/>
          <w:sz w:val="24"/>
          <w:szCs w:val="24"/>
          <w:lang w:val="es-CO"/>
        </w:rPr>
      </w:pPr>
    </w:p>
    <w:p w:rsidRPr="0012341F" w:rsidR="006E74C3" w:rsidP="0012341F" w:rsidRDefault="0012341F" w14:paraId="58194F18" w14:textId="1534B2EE">
      <w:pPr>
        <w:pStyle w:val="Ttulo4"/>
        <w:rPr>
          <w:sz w:val="24"/>
          <w:szCs w:val="24"/>
          <w:lang w:val="es-CO"/>
        </w:rPr>
      </w:pPr>
      <w:bookmarkStart w:name="_Toc905268448" w:id="1163050026"/>
      <w:r w:rsidRPr="53DEF7DD" w:rsidR="5154C635">
        <w:rPr>
          <w:sz w:val="24"/>
          <w:szCs w:val="24"/>
          <w:lang w:val="es-CO"/>
        </w:rPr>
        <w:t xml:space="preserve">5.3.3.1. </w:t>
      </w:r>
      <w:r w:rsidRPr="53DEF7DD" w:rsidR="12D85281">
        <w:rPr>
          <w:sz w:val="24"/>
          <w:szCs w:val="24"/>
          <w:lang w:val="es-CO"/>
        </w:rPr>
        <w:t>Impactos sobre la seguridad alimentaria</w:t>
      </w:r>
      <w:bookmarkEnd w:id="1163050026"/>
    </w:p>
    <w:p w:rsidR="53DEF7DD" w:rsidP="53DEF7DD" w:rsidRDefault="53DEF7DD" w14:paraId="643E3332" w14:textId="260CA9A1">
      <w:pPr>
        <w:spacing w:beforeAutospacing="on" w:afterAutospacing="on" w:line="360" w:lineRule="auto"/>
        <w:jc w:val="both"/>
        <w:rPr>
          <w:rFonts w:cs="Calibri"/>
          <w:sz w:val="24"/>
          <w:szCs w:val="24"/>
          <w:lang w:val="es-CO"/>
        </w:rPr>
      </w:pPr>
    </w:p>
    <w:p w:rsidRPr="006E74C3" w:rsidR="006E74C3" w:rsidP="53DEF7DD" w:rsidRDefault="006E74C3" w14:paraId="5DFC3EE2" w14:textId="77777777">
      <w:pPr>
        <w:spacing w:before="100" w:beforeAutospacing="on" w:after="100" w:afterAutospacing="on" w:line="360" w:lineRule="auto"/>
        <w:ind w:firstLine="720"/>
        <w:jc w:val="both"/>
        <w:rPr>
          <w:rFonts w:cs="Calibri"/>
          <w:sz w:val="24"/>
          <w:szCs w:val="24"/>
          <w:lang w:val="es-CO"/>
        </w:rPr>
      </w:pPr>
      <w:r w:rsidRPr="53DEF7DD" w:rsidR="12D85281">
        <w:rPr>
          <w:rFonts w:cs="Calibri"/>
          <w:sz w:val="24"/>
          <w:szCs w:val="24"/>
          <w:lang w:val="es-CO"/>
        </w:rPr>
        <w:t xml:space="preserve">La seguridad alimentaria se ve comprometida cuando la extracción de materiales de arrastre altera la dinámica natural de los ríos y sus áreas de inundación. </w:t>
      </w:r>
      <w:r w:rsidRPr="53DEF7DD" w:rsidR="12D85281">
        <w:rPr>
          <w:rFonts w:cs="Calibri"/>
          <w:sz w:val="24"/>
          <w:szCs w:val="24"/>
          <w:lang w:val="es-CO"/>
        </w:rPr>
        <w:t>Estas zonas son tradicionalmente fértiles debido a la deposición natural de sedimentos, lo que las convierte en espacios clave para la agricultura de subsistencia y la producción de alimentos.</w:t>
      </w:r>
      <w:r w:rsidRPr="53DEF7DD" w:rsidR="12D85281">
        <w:rPr>
          <w:rFonts w:cs="Calibri"/>
          <w:sz w:val="24"/>
          <w:szCs w:val="24"/>
          <w:lang w:val="es-CO"/>
        </w:rPr>
        <w:t xml:space="preserve"> La remoción intensiva de materiales puede provocar erosión, pérdida de suelos agrícolas, disminución de la productividad y afectación de actividades como la pesca artesanal, al degradar los hábitats acuáticos (FAO, 2011). En este escenario, el paisaje fluvial deja de cumplir su función como base de sistemas alimentarios locales y resilientes.</w:t>
      </w:r>
    </w:p>
    <w:p w:rsidR="53DEF7DD" w:rsidP="53DEF7DD" w:rsidRDefault="53DEF7DD" w14:paraId="3E367FAC" w14:textId="59BAA87C">
      <w:pPr>
        <w:spacing w:beforeAutospacing="on" w:afterAutospacing="on" w:line="360" w:lineRule="auto"/>
        <w:ind w:firstLine="720"/>
        <w:jc w:val="both"/>
        <w:rPr>
          <w:rFonts w:cs="Calibri"/>
          <w:sz w:val="24"/>
          <w:szCs w:val="24"/>
          <w:lang w:val="es-CO"/>
        </w:rPr>
      </w:pPr>
    </w:p>
    <w:p w:rsidRPr="009B7203" w:rsidR="006E74C3" w:rsidP="009B7203" w:rsidRDefault="009B7203" w14:paraId="310544E9" w14:textId="7EA47404">
      <w:pPr>
        <w:pStyle w:val="Ttulo4"/>
        <w:rPr>
          <w:sz w:val="24"/>
          <w:szCs w:val="24"/>
          <w:lang w:val="es-CO"/>
        </w:rPr>
      </w:pPr>
      <w:bookmarkStart w:name="_Toc1738072622" w:id="1125313476"/>
      <w:r w:rsidRPr="53DEF7DD" w:rsidR="0DAB9F13">
        <w:rPr>
          <w:sz w:val="24"/>
          <w:szCs w:val="24"/>
          <w:lang w:val="es-CO"/>
        </w:rPr>
        <w:t xml:space="preserve">5.3.3.2. </w:t>
      </w:r>
      <w:r w:rsidRPr="53DEF7DD" w:rsidR="12D85281">
        <w:rPr>
          <w:sz w:val="24"/>
          <w:szCs w:val="24"/>
          <w:lang w:val="es-CO"/>
        </w:rPr>
        <w:t>Deterioro de la calidad del agua</w:t>
      </w:r>
      <w:bookmarkEnd w:id="1125313476"/>
    </w:p>
    <w:p w:rsidR="53DEF7DD" w:rsidP="53DEF7DD" w:rsidRDefault="53DEF7DD" w14:paraId="52B761CB" w14:textId="5E1A51DE">
      <w:pPr>
        <w:spacing w:beforeAutospacing="on" w:afterAutospacing="on" w:line="360" w:lineRule="auto"/>
        <w:jc w:val="both"/>
        <w:rPr>
          <w:rFonts w:cs="Calibri"/>
          <w:sz w:val="24"/>
          <w:szCs w:val="24"/>
          <w:lang w:val="es-CO"/>
        </w:rPr>
      </w:pPr>
    </w:p>
    <w:p w:rsidRPr="006E74C3" w:rsidR="006E74C3" w:rsidP="53DEF7DD" w:rsidRDefault="006E74C3" w14:paraId="32316C32" w14:textId="77777777">
      <w:pPr>
        <w:spacing w:before="100" w:beforeAutospacing="on" w:after="100" w:afterAutospacing="on" w:line="360" w:lineRule="auto"/>
        <w:ind w:firstLine="720"/>
        <w:jc w:val="both"/>
        <w:rPr>
          <w:rFonts w:cs="Calibri"/>
          <w:sz w:val="24"/>
          <w:szCs w:val="24"/>
          <w:lang w:val="es-CO"/>
        </w:rPr>
      </w:pPr>
      <w:r w:rsidRPr="53DEF7DD" w:rsidR="12D85281">
        <w:rPr>
          <w:rFonts w:cs="Calibri"/>
          <w:sz w:val="24"/>
          <w:szCs w:val="24"/>
          <w:lang w:val="es-CO"/>
        </w:rPr>
        <w:t>La calidad del agua es uno de los servicios ecosistémicos más directamente afectados por la minería de materiales de arrastre. La remoción de sedimentos incrementa la turbidez, libera contaminantes atrapados en el fondo del río y altera los procesos naturales de filtración y depuración. Desde la teoría de los servicios de regulación, los ríos y sus riberas actúan como sistemas naturales que garantizan la disponibilidad de agua para consumo humano, riego y uso doméstico. Cuando esta capacidad se debilita, aumentan los riesgos para la salud humana y se deterioran los ecosistemas acuáticos (</w:t>
      </w:r>
      <w:r w:rsidRPr="53DEF7DD" w:rsidR="12D85281">
        <w:rPr>
          <w:rFonts w:cs="Calibri"/>
          <w:sz w:val="24"/>
          <w:szCs w:val="24"/>
          <w:lang w:val="es-CO"/>
        </w:rPr>
        <w:t>World</w:t>
      </w:r>
      <w:r w:rsidRPr="53DEF7DD" w:rsidR="12D85281">
        <w:rPr>
          <w:rFonts w:cs="Calibri"/>
          <w:sz w:val="24"/>
          <w:szCs w:val="24"/>
          <w:lang w:val="es-CO"/>
        </w:rPr>
        <w:t xml:space="preserve"> </w:t>
      </w:r>
      <w:r w:rsidRPr="53DEF7DD" w:rsidR="12D85281">
        <w:rPr>
          <w:rFonts w:cs="Calibri"/>
          <w:sz w:val="24"/>
          <w:szCs w:val="24"/>
          <w:lang w:val="es-CO"/>
        </w:rPr>
        <w:t>Health</w:t>
      </w:r>
      <w:r w:rsidRPr="53DEF7DD" w:rsidR="12D85281">
        <w:rPr>
          <w:rFonts w:cs="Calibri"/>
          <w:sz w:val="24"/>
          <w:szCs w:val="24"/>
          <w:lang w:val="es-CO"/>
        </w:rPr>
        <w:t xml:space="preserve"> </w:t>
      </w:r>
      <w:r w:rsidRPr="53DEF7DD" w:rsidR="12D85281">
        <w:rPr>
          <w:rFonts w:cs="Calibri"/>
          <w:sz w:val="24"/>
          <w:szCs w:val="24"/>
          <w:lang w:val="es-CO"/>
        </w:rPr>
        <w:t>Organization</w:t>
      </w:r>
      <w:r w:rsidRPr="53DEF7DD" w:rsidR="12D85281">
        <w:rPr>
          <w:rFonts w:cs="Calibri"/>
          <w:sz w:val="24"/>
          <w:szCs w:val="24"/>
          <w:lang w:val="es-CO"/>
        </w:rPr>
        <w:t>, 2017).</w:t>
      </w:r>
    </w:p>
    <w:p w:rsidR="53DEF7DD" w:rsidP="53DEF7DD" w:rsidRDefault="53DEF7DD" w14:paraId="24A2BAD7" w14:textId="774FC4A8">
      <w:pPr>
        <w:pStyle w:val="Ttulo4"/>
        <w:rPr>
          <w:sz w:val="24"/>
          <w:szCs w:val="24"/>
          <w:lang w:val="es-CO"/>
        </w:rPr>
      </w:pPr>
    </w:p>
    <w:p w:rsidRPr="006B2C0D" w:rsidR="006E74C3" w:rsidP="006B2C0D" w:rsidRDefault="006B2C0D" w14:paraId="2D1093EE" w14:textId="1A277157">
      <w:pPr>
        <w:pStyle w:val="Ttulo4"/>
        <w:rPr>
          <w:sz w:val="24"/>
          <w:szCs w:val="24"/>
          <w:lang w:val="es-CO"/>
        </w:rPr>
      </w:pPr>
      <w:bookmarkStart w:name="_Toc1251165916" w:id="1400892342"/>
      <w:r w:rsidRPr="53DEF7DD" w:rsidR="5799AC70">
        <w:rPr>
          <w:sz w:val="24"/>
          <w:szCs w:val="24"/>
          <w:lang w:val="es-CO"/>
        </w:rPr>
        <w:t xml:space="preserve">5.3.3.3. </w:t>
      </w:r>
      <w:r w:rsidRPr="53DEF7DD" w:rsidR="12D85281">
        <w:rPr>
          <w:sz w:val="24"/>
          <w:szCs w:val="24"/>
          <w:lang w:val="es-CO"/>
        </w:rPr>
        <w:t>Consecuencias de la degradación de los ecosistemas asociada a la minería de arrastre en la Amazonía</w:t>
      </w:r>
      <w:bookmarkEnd w:id="1400892342"/>
    </w:p>
    <w:p w:rsidR="53DEF7DD" w:rsidP="53DEF7DD" w:rsidRDefault="53DEF7DD" w14:paraId="33C1A483" w14:textId="62CE3B69">
      <w:pPr>
        <w:spacing w:beforeAutospacing="on" w:afterAutospacing="on" w:line="360" w:lineRule="auto"/>
        <w:jc w:val="both"/>
        <w:rPr>
          <w:rFonts w:cs="Calibri"/>
          <w:sz w:val="24"/>
          <w:szCs w:val="24"/>
          <w:lang w:val="es-CO"/>
        </w:rPr>
      </w:pPr>
    </w:p>
    <w:p w:rsidRPr="006E74C3" w:rsidR="006E74C3" w:rsidP="53DEF7DD" w:rsidRDefault="006E74C3" w14:paraId="7007DC29" w14:textId="77777777">
      <w:pPr>
        <w:spacing w:before="100" w:beforeAutospacing="on" w:after="100" w:afterAutospacing="on" w:line="360" w:lineRule="auto"/>
        <w:ind w:firstLine="720"/>
        <w:jc w:val="both"/>
        <w:rPr>
          <w:rFonts w:cs="Calibri"/>
          <w:sz w:val="24"/>
          <w:szCs w:val="24"/>
          <w:lang w:val="es-CO"/>
        </w:rPr>
      </w:pPr>
      <w:r w:rsidRPr="53DEF7DD" w:rsidR="12D85281">
        <w:rPr>
          <w:rFonts w:cs="Calibri"/>
          <w:sz w:val="24"/>
          <w:szCs w:val="24"/>
          <w:lang w:val="es-CO"/>
        </w:rPr>
        <w:t xml:space="preserve">La degradación de los ecosistemas se entiende como la alteración de su estructura y funcionamiento, lo que reduce su capacidad para sostener el bienestar humano (Millennium </w:t>
      </w:r>
      <w:r w:rsidRPr="53DEF7DD" w:rsidR="12D85281">
        <w:rPr>
          <w:rFonts w:cs="Calibri"/>
          <w:sz w:val="24"/>
          <w:szCs w:val="24"/>
          <w:lang w:val="es-CO"/>
        </w:rPr>
        <w:t>Ecosystem</w:t>
      </w:r>
      <w:r w:rsidRPr="53DEF7DD" w:rsidR="12D85281">
        <w:rPr>
          <w:rFonts w:cs="Calibri"/>
          <w:sz w:val="24"/>
          <w:szCs w:val="24"/>
          <w:lang w:val="es-CO"/>
        </w:rPr>
        <w:t xml:space="preserve"> </w:t>
      </w:r>
      <w:r w:rsidRPr="53DEF7DD" w:rsidR="12D85281">
        <w:rPr>
          <w:rFonts w:cs="Calibri"/>
          <w:sz w:val="24"/>
          <w:szCs w:val="24"/>
          <w:lang w:val="es-CO"/>
        </w:rPr>
        <w:t>Assessment</w:t>
      </w:r>
      <w:r w:rsidRPr="53DEF7DD" w:rsidR="12D85281">
        <w:rPr>
          <w:rFonts w:cs="Calibri"/>
          <w:sz w:val="24"/>
          <w:szCs w:val="24"/>
          <w:lang w:val="es-CO"/>
        </w:rPr>
        <w:t>, 2005). En la Amazonía, esta degradación se ve agravada por actividades extractivas como la minería de materiales de arrastre, que modifica directamente los cauces fluviales, las riberas y los sistemas asociados a las planicies de inundación.</w:t>
      </w:r>
    </w:p>
    <w:p w:rsidR="53DEF7DD" w:rsidP="53DEF7DD" w:rsidRDefault="53DEF7DD" w14:paraId="6D6125A7" w14:textId="35F039E7">
      <w:pPr>
        <w:spacing w:beforeAutospacing="on" w:afterAutospacing="on" w:line="360" w:lineRule="auto"/>
        <w:jc w:val="both"/>
        <w:rPr>
          <w:rFonts w:cs="Calibri"/>
          <w:sz w:val="24"/>
          <w:szCs w:val="24"/>
          <w:lang w:val="es-CO"/>
        </w:rPr>
      </w:pPr>
    </w:p>
    <w:p w:rsidRPr="006E74C3" w:rsidR="006E74C3" w:rsidP="53DEF7DD" w:rsidRDefault="006E74C3" w14:paraId="789614C4" w14:textId="77777777">
      <w:pPr>
        <w:spacing w:before="100" w:beforeAutospacing="on" w:after="100" w:afterAutospacing="on" w:line="360" w:lineRule="auto"/>
        <w:ind w:firstLine="720"/>
        <w:jc w:val="both"/>
        <w:rPr>
          <w:rFonts w:cs="Calibri"/>
          <w:sz w:val="24"/>
          <w:szCs w:val="24"/>
          <w:lang w:val="es-CO"/>
        </w:rPr>
      </w:pPr>
      <w:r w:rsidRPr="53DEF7DD" w:rsidR="12D85281">
        <w:rPr>
          <w:rFonts w:cs="Calibri"/>
          <w:sz w:val="24"/>
          <w:szCs w:val="24"/>
          <w:lang w:val="es-CO"/>
        </w:rPr>
        <w:t xml:space="preserve">La minería de arrastre impacta de manera significativa los servicios de regulación, especialmente aquellos relacionados con la purificación del agua y del aire. La remoción de sedimentos incrementa la turbidez, favorece la </w:t>
      </w:r>
      <w:r w:rsidRPr="53DEF7DD" w:rsidR="12D85281">
        <w:rPr>
          <w:rFonts w:cs="Calibri"/>
          <w:sz w:val="24"/>
          <w:szCs w:val="24"/>
          <w:lang w:val="es-CO"/>
        </w:rPr>
        <w:t>resuspensión</w:t>
      </w:r>
      <w:r w:rsidRPr="53DEF7DD" w:rsidR="12D85281">
        <w:rPr>
          <w:rFonts w:cs="Calibri"/>
          <w:sz w:val="24"/>
          <w:szCs w:val="24"/>
          <w:lang w:val="es-CO"/>
        </w:rPr>
        <w:t xml:space="preserve"> de contaminantes y puede liberar metales pesados acumulados en el fondo de los ríos. Esto reduce la capacidad natural de los ecosistemas para depurar el agua, afectando su calidad para el consumo humano, la pesca y el uso doméstico, y aumentando los riesgos sanitarios para la población.</w:t>
      </w:r>
    </w:p>
    <w:p w:rsidR="53DEF7DD" w:rsidP="53DEF7DD" w:rsidRDefault="53DEF7DD" w14:paraId="0926D451" w14:textId="33B8A1BC">
      <w:pPr>
        <w:spacing w:beforeAutospacing="on" w:afterAutospacing="on" w:line="360" w:lineRule="auto"/>
        <w:jc w:val="both"/>
        <w:rPr>
          <w:rFonts w:cs="Calibri"/>
          <w:sz w:val="24"/>
          <w:szCs w:val="24"/>
          <w:lang w:val="es-CO"/>
        </w:rPr>
      </w:pPr>
    </w:p>
    <w:p w:rsidRPr="006E74C3" w:rsidR="006E74C3" w:rsidP="53DEF7DD" w:rsidRDefault="006E74C3" w14:paraId="30A7976B" w14:textId="77777777">
      <w:pPr>
        <w:spacing w:before="100" w:beforeAutospacing="on" w:after="100" w:afterAutospacing="on" w:line="360" w:lineRule="auto"/>
        <w:ind w:firstLine="720"/>
        <w:jc w:val="both"/>
        <w:rPr>
          <w:rFonts w:cs="Calibri"/>
          <w:sz w:val="24"/>
          <w:szCs w:val="24"/>
          <w:lang w:val="es-CO"/>
        </w:rPr>
      </w:pPr>
      <w:r w:rsidRPr="53DEF7DD" w:rsidR="12D85281">
        <w:rPr>
          <w:rFonts w:cs="Calibri"/>
          <w:sz w:val="24"/>
          <w:szCs w:val="24"/>
          <w:lang w:val="es-CO"/>
        </w:rPr>
        <w:t xml:space="preserve">Desde el punto de vista atmosférico, la degradación de las riberas y la deforestación asociada a estas actividades disminuyen la capacidad del bosque para capturar partículas y regular la humedad. En la Amazonía, los ecosistemas ribereños cumplen un papel clave en la regulación </w:t>
      </w:r>
      <w:r w:rsidRPr="53DEF7DD" w:rsidR="12D85281">
        <w:rPr>
          <w:rFonts w:cs="Calibri"/>
          <w:sz w:val="24"/>
          <w:szCs w:val="24"/>
          <w:lang w:val="es-CO"/>
        </w:rPr>
        <w:t>microclimática</w:t>
      </w:r>
      <w:r w:rsidRPr="53DEF7DD" w:rsidR="12D85281">
        <w:rPr>
          <w:rFonts w:cs="Calibri"/>
          <w:sz w:val="24"/>
          <w:szCs w:val="24"/>
          <w:lang w:val="es-CO"/>
        </w:rPr>
        <w:t xml:space="preserve"> y en la calidad del aire; su alteración contribuye al aumento de polvo, emisiones y estrés ambiental, con efectos tanto ecológicos como sanitarios.</w:t>
      </w:r>
    </w:p>
    <w:p w:rsidR="53DEF7DD" w:rsidP="53DEF7DD" w:rsidRDefault="53DEF7DD" w14:paraId="63BC6E13" w14:textId="6258232F">
      <w:pPr>
        <w:pStyle w:val="Ttulo4"/>
        <w:rPr>
          <w:sz w:val="24"/>
          <w:szCs w:val="24"/>
          <w:lang w:val="es-CO"/>
        </w:rPr>
      </w:pPr>
    </w:p>
    <w:p w:rsidRPr="00624170" w:rsidR="006E74C3" w:rsidP="00624170" w:rsidRDefault="00624170" w14:paraId="2868B339" w14:textId="491C0F99">
      <w:pPr>
        <w:pStyle w:val="Ttulo4"/>
        <w:rPr>
          <w:sz w:val="24"/>
          <w:szCs w:val="24"/>
          <w:lang w:val="es-CO"/>
        </w:rPr>
      </w:pPr>
      <w:bookmarkStart w:name="_Toc19792178" w:id="1815587452"/>
      <w:r w:rsidRPr="53DEF7DD" w:rsidR="02B4C46E">
        <w:rPr>
          <w:sz w:val="24"/>
          <w:szCs w:val="24"/>
          <w:lang w:val="es-CO"/>
        </w:rPr>
        <w:t xml:space="preserve">5.3.3.4. </w:t>
      </w:r>
      <w:r w:rsidRPr="53DEF7DD" w:rsidR="12D85281">
        <w:rPr>
          <w:sz w:val="24"/>
          <w:szCs w:val="24"/>
          <w:lang w:val="es-CO"/>
        </w:rPr>
        <w:t>Afectaciones a las comunidades indígenas y a su bienestar integral</w:t>
      </w:r>
      <w:bookmarkEnd w:id="1815587452"/>
    </w:p>
    <w:p w:rsidR="53DEF7DD" w:rsidP="53DEF7DD" w:rsidRDefault="53DEF7DD" w14:paraId="73C3F8E9" w14:textId="14AC5BF6">
      <w:pPr>
        <w:spacing w:beforeAutospacing="on" w:afterAutospacing="on" w:line="360" w:lineRule="auto"/>
        <w:jc w:val="both"/>
        <w:rPr>
          <w:rFonts w:cs="Calibri"/>
          <w:sz w:val="24"/>
          <w:szCs w:val="24"/>
          <w:lang w:val="es-CO"/>
        </w:rPr>
      </w:pPr>
    </w:p>
    <w:p w:rsidRPr="006E74C3" w:rsidR="006E74C3" w:rsidP="53DEF7DD" w:rsidRDefault="006E74C3" w14:paraId="53B052E5" w14:textId="77777777">
      <w:pPr>
        <w:spacing w:before="100" w:beforeAutospacing="on" w:after="100" w:afterAutospacing="on" w:line="360" w:lineRule="auto"/>
        <w:ind w:firstLine="720"/>
        <w:jc w:val="both"/>
        <w:rPr>
          <w:rFonts w:cs="Calibri"/>
          <w:sz w:val="24"/>
          <w:szCs w:val="24"/>
          <w:lang w:val="es-CO"/>
        </w:rPr>
      </w:pPr>
      <w:r w:rsidRPr="53DEF7DD" w:rsidR="12D85281">
        <w:rPr>
          <w:rFonts w:cs="Calibri"/>
          <w:sz w:val="24"/>
          <w:szCs w:val="24"/>
          <w:lang w:val="es-CO"/>
        </w:rPr>
        <w:t>Estas transformaciones tienen implicaciones profundas para las comunidades amazónicas, cuya relación con el territorio se fundamenta en una cosmovisión que concibe a los ríos, bosques y suelos como seres vivos interconectados. Para muchas culturas indígenas, los ríos no son solo fuentes de agua y alimento, sino espacios sagrados que sostienen la identidad, la memoria colectiva y el equilibrio espiritual. La alteración de los cauces y la contaminación del agua representan, desde esta perspectiva, una ruptura del orden natural y espiritual, generando impactos emocionales, culturales y sociales.</w:t>
      </w:r>
    </w:p>
    <w:p w:rsidR="53DEF7DD" w:rsidP="53DEF7DD" w:rsidRDefault="53DEF7DD" w14:paraId="521A0BBF" w14:textId="1409714C">
      <w:pPr>
        <w:spacing w:beforeAutospacing="on" w:afterAutospacing="on" w:line="360" w:lineRule="auto"/>
        <w:jc w:val="both"/>
        <w:rPr>
          <w:rFonts w:cs="Calibri"/>
          <w:sz w:val="24"/>
          <w:szCs w:val="24"/>
          <w:lang w:val="es-CO"/>
        </w:rPr>
      </w:pPr>
    </w:p>
    <w:p w:rsidRPr="006E74C3" w:rsidR="006E74C3" w:rsidP="53DEF7DD" w:rsidRDefault="006E74C3" w14:paraId="2E68F615" w14:textId="77777777">
      <w:pPr>
        <w:spacing w:before="100" w:beforeAutospacing="on" w:after="100" w:afterAutospacing="on" w:line="360" w:lineRule="auto"/>
        <w:ind w:firstLine="720"/>
        <w:jc w:val="both"/>
        <w:rPr>
          <w:rFonts w:cs="Calibri"/>
          <w:sz w:val="24"/>
          <w:szCs w:val="24"/>
          <w:lang w:val="es-CO"/>
        </w:rPr>
      </w:pPr>
      <w:r w:rsidRPr="53DEF7DD" w:rsidR="12D85281">
        <w:rPr>
          <w:rFonts w:cs="Calibri"/>
          <w:sz w:val="24"/>
          <w:szCs w:val="24"/>
          <w:lang w:val="es-CO"/>
        </w:rPr>
        <w:t xml:space="preserve">La degradación de los ecosistemas fluviales afecta también los medios de vida tradicionales, al disminuir la pesca, la agricultura de ribera y el acceso a agua limpia. Esto debilita la seguridad alimentaria, incrementa la vulnerabilidad sanitaria y puede desencadenar procesos de desplazamiento, pérdida cultural y desestructuración social. Desde la psicología ambiental, estos efectos se asocian a fenómenos de malestar emocional y pérdida del sentido de pertenencia, similares a lo que se ha conceptualizado como </w:t>
      </w:r>
      <w:r w:rsidRPr="53DEF7DD" w:rsidR="12D85281">
        <w:rPr>
          <w:rFonts w:cs="Calibri"/>
          <w:sz w:val="24"/>
          <w:szCs w:val="24"/>
          <w:lang w:val="es-CO"/>
        </w:rPr>
        <w:t>solastalgia</w:t>
      </w:r>
      <w:r w:rsidRPr="53DEF7DD" w:rsidR="12D85281">
        <w:rPr>
          <w:rFonts w:cs="Calibri"/>
          <w:sz w:val="24"/>
          <w:szCs w:val="24"/>
          <w:lang w:val="es-CO"/>
        </w:rPr>
        <w:t xml:space="preserve"> (Albrecht et al., 2007).</w:t>
      </w:r>
    </w:p>
    <w:p w:rsidRPr="00AB61C1" w:rsidR="006E74C3" w:rsidP="53DEF7DD" w:rsidRDefault="00AB61C1" w14:paraId="4F384E9E" w14:textId="1E488116">
      <w:pPr>
        <w:pStyle w:val="Ttulo4"/>
        <w:spacing w:beforeAutospacing="on" w:afterAutospacing="on" w:line="360" w:lineRule="auto"/>
        <w:ind w:firstLine="720"/>
        <w:jc w:val="both"/>
        <w:rPr>
          <w:rFonts w:cs="Calibri"/>
          <w:sz w:val="24"/>
          <w:szCs w:val="24"/>
          <w:lang w:val="es-CO"/>
        </w:rPr>
      </w:pPr>
    </w:p>
    <w:p w:rsidRPr="00AB61C1" w:rsidR="006E74C3" w:rsidP="53DEF7DD" w:rsidRDefault="00AB61C1" w14:paraId="10DE6E9C" w14:textId="4C63DA45">
      <w:pPr>
        <w:pStyle w:val="Normal"/>
        <w:rPr>
          <w:lang w:val="es-CO"/>
        </w:rPr>
      </w:pPr>
    </w:p>
    <w:p w:rsidRPr="00AB61C1" w:rsidR="006E74C3" w:rsidP="53DEF7DD" w:rsidRDefault="00AB61C1" w14:paraId="5AAB923E" w14:textId="7DE4AA5F">
      <w:pPr>
        <w:pStyle w:val="Normal"/>
        <w:rPr>
          <w:lang w:val="es-CO"/>
        </w:rPr>
      </w:pPr>
    </w:p>
    <w:p w:rsidRPr="00AB61C1" w:rsidR="006E74C3" w:rsidP="53DEF7DD" w:rsidRDefault="00AB61C1" w14:paraId="0BB543C5" w14:textId="1C134E39">
      <w:pPr>
        <w:pStyle w:val="Ttulo4"/>
        <w:keepNext w:val="0"/>
        <w:keepLines w:val="0"/>
        <w:spacing w:before="0" w:beforeAutospacing="off" w:after="0" w:afterAutospacing="off" w:line="360" w:lineRule="auto"/>
        <w:rPr>
          <w:sz w:val="24"/>
          <w:szCs w:val="24"/>
          <w:lang w:val="es-CO"/>
        </w:rPr>
      </w:pPr>
      <w:bookmarkStart w:name="_Toc1135556445" w:id="785592323"/>
      <w:r w:rsidRPr="53DEF7DD" w:rsidR="58B68A61">
        <w:rPr>
          <w:sz w:val="24"/>
          <w:szCs w:val="24"/>
          <w:lang w:val="es-CO"/>
        </w:rPr>
        <w:t xml:space="preserve">5.3.3.5. </w:t>
      </w:r>
      <w:r w:rsidRPr="53DEF7DD" w:rsidR="12D85281">
        <w:rPr>
          <w:sz w:val="24"/>
          <w:szCs w:val="24"/>
          <w:lang w:val="es-CO"/>
        </w:rPr>
        <w:t>Impactos específicos en la salud física</w:t>
      </w:r>
      <w:bookmarkEnd w:id="785592323"/>
    </w:p>
    <w:p w:rsidR="53DEF7DD" w:rsidP="53DEF7DD" w:rsidRDefault="53DEF7DD" w14:paraId="67BE8BA2" w14:textId="2CCD9F70">
      <w:pPr>
        <w:keepNext w:val="0"/>
        <w:keepLines w:val="0"/>
        <w:spacing w:before="0" w:beforeAutospacing="off" w:after="0" w:afterAutospacing="off" w:line="360" w:lineRule="auto"/>
        <w:jc w:val="both"/>
        <w:rPr>
          <w:rFonts w:cs="Calibri"/>
          <w:sz w:val="24"/>
          <w:szCs w:val="24"/>
          <w:lang w:val="es-CO"/>
        </w:rPr>
      </w:pPr>
    </w:p>
    <w:p w:rsidRPr="006E74C3" w:rsidR="006E74C3" w:rsidP="53DEF7DD" w:rsidRDefault="006E74C3" w14:paraId="43F5A2A0" w14:textId="77777777">
      <w:pPr>
        <w:spacing w:before="100" w:beforeAutospacing="on" w:after="100" w:afterAutospacing="on" w:line="360" w:lineRule="auto"/>
        <w:ind w:firstLine="720"/>
        <w:jc w:val="both"/>
        <w:rPr>
          <w:rFonts w:cs="Calibri"/>
          <w:sz w:val="24"/>
          <w:szCs w:val="24"/>
          <w:lang w:val="es-CO"/>
        </w:rPr>
      </w:pPr>
      <w:r w:rsidRPr="53DEF7DD" w:rsidR="12D85281">
        <w:rPr>
          <w:rFonts w:cs="Calibri"/>
          <w:sz w:val="24"/>
          <w:szCs w:val="24"/>
          <w:lang w:val="es-CO"/>
        </w:rPr>
        <w:t>Las prácticas asociadas a la extracción de agregados como la remoción de sedimentos, la explotación de canteras, el transporte, la clasificación y la trituración de materiales generan emisiones de polvo, ruido, modificaciones hidrológicas y degradación del paisaje, afectando directamente la salud de las poblaciones amazónicas.</w:t>
      </w:r>
    </w:p>
    <w:p w:rsidR="53DEF7DD" w:rsidP="53DEF7DD" w:rsidRDefault="53DEF7DD" w14:paraId="1666DCE1" w14:textId="3467DB81">
      <w:pPr>
        <w:spacing w:beforeAutospacing="on" w:afterAutospacing="on" w:line="360" w:lineRule="auto"/>
        <w:ind w:firstLine="720"/>
        <w:jc w:val="both"/>
        <w:rPr>
          <w:rFonts w:cs="Calibri"/>
          <w:sz w:val="24"/>
          <w:szCs w:val="24"/>
          <w:lang w:val="es-CO"/>
        </w:rPr>
      </w:pPr>
    </w:p>
    <w:p w:rsidRPr="006E74C3" w:rsidR="006E74C3" w:rsidP="00AB61C1" w:rsidRDefault="006E74C3" w14:paraId="416CA798" w14:textId="77777777">
      <w:pPr>
        <w:spacing w:before="100" w:beforeAutospacing="1" w:after="100" w:afterAutospacing="1" w:line="360" w:lineRule="auto"/>
        <w:jc w:val="both"/>
        <w:rPr>
          <w:rFonts w:cs="Calibri"/>
          <w:sz w:val="24"/>
          <w:szCs w:val="24"/>
          <w:lang w:val="es-CO"/>
        </w:rPr>
      </w:pPr>
      <w:r w:rsidRPr="53DEF7DD" w:rsidR="12D85281">
        <w:rPr>
          <w:rFonts w:cs="Calibri"/>
          <w:sz w:val="24"/>
          <w:szCs w:val="24"/>
          <w:lang w:val="es-CO"/>
        </w:rPr>
        <w:t>La liberación de material particulado fino representa uno de los principales riesgos, especialmente:</w:t>
      </w:r>
    </w:p>
    <w:p w:rsidR="53DEF7DD" w:rsidP="53DEF7DD" w:rsidRDefault="53DEF7DD" w14:paraId="12614614" w14:textId="59E0A4EA">
      <w:pPr>
        <w:spacing w:beforeAutospacing="on" w:afterAutospacing="on" w:line="360" w:lineRule="auto"/>
        <w:jc w:val="both"/>
        <w:rPr>
          <w:rFonts w:cs="Calibri"/>
          <w:sz w:val="24"/>
          <w:szCs w:val="24"/>
          <w:lang w:val="es-CO"/>
        </w:rPr>
      </w:pPr>
    </w:p>
    <w:p w:rsidRPr="006E74C3" w:rsidR="006E74C3" w:rsidP="006E74C3" w:rsidRDefault="006E74C3" w14:paraId="00665966" w14:textId="77777777">
      <w:pPr>
        <w:numPr>
          <w:ilvl w:val="0"/>
          <w:numId w:val="47"/>
        </w:numPr>
        <w:spacing w:before="100" w:beforeAutospacing="1" w:after="100" w:afterAutospacing="1" w:line="360" w:lineRule="auto"/>
        <w:jc w:val="both"/>
        <w:rPr>
          <w:rFonts w:cs="Calibri"/>
          <w:sz w:val="24"/>
          <w:szCs w:val="24"/>
          <w:lang w:val="es-CO"/>
        </w:rPr>
      </w:pPr>
      <w:r w:rsidRPr="006E74C3">
        <w:rPr>
          <w:rFonts w:cs="Calibri"/>
          <w:sz w:val="24"/>
          <w:szCs w:val="24"/>
          <w:lang w:val="es-CO"/>
        </w:rPr>
        <w:t>PM10: partículas menores a 10 micras que afectan las vías respiratorias superiores.</w:t>
      </w:r>
    </w:p>
    <w:p w:rsidRPr="006E74C3" w:rsidR="006E74C3" w:rsidP="006E74C3" w:rsidRDefault="006E74C3" w14:paraId="71805619" w14:textId="77777777">
      <w:pPr>
        <w:numPr>
          <w:ilvl w:val="0"/>
          <w:numId w:val="47"/>
        </w:numPr>
        <w:spacing w:before="100" w:beforeAutospacing="1" w:after="100" w:afterAutospacing="1" w:line="360" w:lineRule="auto"/>
        <w:jc w:val="both"/>
        <w:rPr>
          <w:rFonts w:cs="Calibri"/>
          <w:sz w:val="24"/>
          <w:szCs w:val="24"/>
          <w:lang w:val="es-CO"/>
        </w:rPr>
      </w:pPr>
      <w:r w:rsidRPr="006E74C3">
        <w:rPr>
          <w:rFonts w:cs="Calibri"/>
          <w:sz w:val="24"/>
          <w:szCs w:val="24"/>
          <w:lang w:val="es-CO"/>
        </w:rPr>
        <w:t>PM2.5: partículas más finas, capaces de penetrar profundamente en los pulmones e ingresar al torrente sanguíneo.</w:t>
      </w:r>
    </w:p>
    <w:p w:rsidRPr="006E74C3" w:rsidR="006E74C3" w:rsidP="006E74C3" w:rsidRDefault="006E74C3" w14:paraId="6373F830" w14:textId="77777777">
      <w:pPr>
        <w:numPr>
          <w:ilvl w:val="0"/>
          <w:numId w:val="47"/>
        </w:numPr>
        <w:spacing w:before="100" w:beforeAutospacing="1" w:after="100" w:afterAutospacing="1" w:line="360" w:lineRule="auto"/>
        <w:jc w:val="both"/>
        <w:rPr>
          <w:rFonts w:cs="Calibri"/>
          <w:sz w:val="24"/>
          <w:szCs w:val="24"/>
          <w:lang w:val="es-CO"/>
        </w:rPr>
      </w:pPr>
      <w:r w:rsidRPr="53DEF7DD" w:rsidR="12D85281">
        <w:rPr>
          <w:rFonts w:cs="Calibri"/>
          <w:sz w:val="24"/>
          <w:szCs w:val="24"/>
          <w:lang w:val="es-CO"/>
        </w:rPr>
        <w:t>PM1: partículas ultrafinas, potencialmente más peligrosas por su capacidad de atravesar barreras celulares.</w:t>
      </w:r>
    </w:p>
    <w:p w:rsidR="53DEF7DD" w:rsidP="53DEF7DD" w:rsidRDefault="53DEF7DD" w14:paraId="7D27F73D" w14:textId="358E3058">
      <w:pPr>
        <w:spacing w:beforeAutospacing="on" w:afterAutospacing="on" w:line="360" w:lineRule="auto"/>
        <w:ind w:left="720"/>
        <w:jc w:val="both"/>
        <w:rPr>
          <w:rFonts w:cs="Calibri"/>
          <w:sz w:val="24"/>
          <w:szCs w:val="24"/>
          <w:lang w:val="es-CO"/>
        </w:rPr>
      </w:pPr>
    </w:p>
    <w:p w:rsidRPr="006E74C3" w:rsidR="006E74C3" w:rsidP="53DEF7DD" w:rsidRDefault="006E74C3" w14:paraId="73054272" w14:textId="77777777">
      <w:pPr>
        <w:spacing w:before="100" w:beforeAutospacing="on" w:after="100" w:afterAutospacing="on" w:line="360" w:lineRule="auto"/>
        <w:ind w:firstLine="720"/>
        <w:jc w:val="both"/>
        <w:rPr>
          <w:rFonts w:cs="Calibri"/>
          <w:sz w:val="24"/>
          <w:szCs w:val="24"/>
          <w:lang w:val="es-CO"/>
        </w:rPr>
      </w:pPr>
      <w:r w:rsidRPr="53DEF7DD" w:rsidR="12D85281">
        <w:rPr>
          <w:rFonts w:cs="Calibri"/>
          <w:sz w:val="24"/>
          <w:szCs w:val="24"/>
          <w:lang w:val="es-CO"/>
        </w:rPr>
        <w:t>La exposición a estas partículas puede provocar asma, bronquitis crónica, alergias, irritación ocular y afecciones respiratorias. En ambientes húmedos como la Amazonía, el polvo puede combinarse con esporas de hongos, aumentando los riesgos para personas sensibles.</w:t>
      </w:r>
    </w:p>
    <w:p w:rsidRPr="006E74C3" w:rsidR="006E74C3" w:rsidP="006E74C3" w:rsidRDefault="006E74C3" w14:paraId="2BD2F6AB" w14:textId="77777777">
      <w:pPr>
        <w:spacing w:before="100" w:beforeAutospacing="1" w:after="100" w:afterAutospacing="1" w:line="360" w:lineRule="auto"/>
        <w:jc w:val="both"/>
        <w:rPr>
          <w:rFonts w:cs="Calibri"/>
          <w:sz w:val="24"/>
          <w:szCs w:val="24"/>
          <w:lang w:val="es-CO"/>
        </w:rPr>
      </w:pPr>
      <w:r w:rsidRPr="53DEF7DD" w:rsidR="12D85281">
        <w:rPr>
          <w:rFonts w:cs="Calibri"/>
          <w:sz w:val="24"/>
          <w:szCs w:val="24"/>
          <w:lang w:val="es-CO"/>
        </w:rPr>
        <w:t>Por otro lado, la contaminación del agua derivada de la remoción de sedimentos y la alteración de los cauces incrementa la turbidez y la presencia de agentes patógenos, lo que puede generar enfermedades gastrointestinales, parasitosis y cuadros diarreicos.</w:t>
      </w:r>
    </w:p>
    <w:p w:rsidR="53DEF7DD" w:rsidP="53DEF7DD" w:rsidRDefault="53DEF7DD" w14:paraId="43C9CA07" w14:textId="20E779FA">
      <w:pPr>
        <w:spacing w:beforeAutospacing="on" w:afterAutospacing="on" w:line="360" w:lineRule="auto"/>
        <w:jc w:val="both"/>
        <w:rPr>
          <w:rFonts w:cs="Calibri"/>
          <w:sz w:val="24"/>
          <w:szCs w:val="24"/>
          <w:lang w:val="es-CO"/>
        </w:rPr>
      </w:pPr>
    </w:p>
    <w:p w:rsidRPr="006E74C3" w:rsidR="006E74C3" w:rsidP="53DEF7DD" w:rsidRDefault="006E74C3" w14:paraId="574DBD49" w14:textId="77777777">
      <w:pPr>
        <w:spacing w:before="100" w:beforeAutospacing="on" w:after="100" w:afterAutospacing="on" w:line="360" w:lineRule="auto"/>
        <w:ind w:firstLine="720"/>
        <w:jc w:val="both"/>
        <w:rPr>
          <w:rFonts w:cs="Calibri"/>
          <w:sz w:val="24"/>
          <w:szCs w:val="24"/>
          <w:lang w:val="es-CO"/>
        </w:rPr>
      </w:pPr>
      <w:r w:rsidRPr="53DEF7DD" w:rsidR="12D85281">
        <w:rPr>
          <w:rFonts w:cs="Calibri"/>
          <w:sz w:val="24"/>
          <w:szCs w:val="24"/>
          <w:lang w:val="es-CO"/>
        </w:rPr>
        <w:t>Asimismo, las excavaciones y pozas abandonadas favorecen la proliferación de mosquitos, incrementando el riesgo de enfermedades vectoriales como dengue, malaria, zika y chikunguña. Aunque no siempre es posible atribuir estos impactos de manera exclusiva a la minería de materiales de construcción, se ha registrado un aumento de estas enfermedades en regiones amazónicas como Amazonas y Putumayo.</w:t>
      </w:r>
    </w:p>
    <w:p w:rsidRPr="00CF1B8A" w:rsidR="006E74C3" w:rsidP="00CF1B8A" w:rsidRDefault="00CF1B8A" w14:paraId="5C637814" w14:textId="2BA2CD08">
      <w:pPr>
        <w:pStyle w:val="Ttulo4"/>
        <w:rPr>
          <w:sz w:val="24"/>
          <w:szCs w:val="24"/>
          <w:lang w:val="es-CO"/>
        </w:rPr>
      </w:pPr>
      <w:bookmarkStart w:name="_Toc1854061832" w:id="1102242052"/>
      <w:r w:rsidRPr="53DEF7DD" w:rsidR="7BE001FB">
        <w:rPr>
          <w:sz w:val="24"/>
          <w:szCs w:val="24"/>
          <w:lang w:val="es-CO"/>
        </w:rPr>
        <w:t xml:space="preserve">5.3.3.6. </w:t>
      </w:r>
      <w:r w:rsidRPr="53DEF7DD" w:rsidR="12D85281">
        <w:rPr>
          <w:sz w:val="24"/>
          <w:szCs w:val="24"/>
          <w:lang w:val="es-CO"/>
        </w:rPr>
        <w:t>Riesgos ambientales directos que afectan la salud</w:t>
      </w:r>
      <w:bookmarkEnd w:id="1102242052"/>
      <w:r w:rsidRPr="53DEF7DD" w:rsidR="12D85281">
        <w:rPr>
          <w:sz w:val="24"/>
          <w:szCs w:val="24"/>
          <w:lang w:val="es-CO"/>
        </w:rPr>
        <w:t xml:space="preserve"> </w:t>
      </w:r>
    </w:p>
    <w:p w:rsidR="53DEF7DD" w:rsidP="53DEF7DD" w:rsidRDefault="53DEF7DD" w14:paraId="7770BCCE" w14:textId="289464AA">
      <w:pPr>
        <w:spacing w:beforeAutospacing="on" w:afterAutospacing="on" w:line="360" w:lineRule="auto"/>
        <w:jc w:val="both"/>
        <w:rPr>
          <w:rFonts w:cs="Calibri"/>
          <w:sz w:val="24"/>
          <w:szCs w:val="24"/>
          <w:lang w:val="es-CO"/>
        </w:rPr>
      </w:pPr>
    </w:p>
    <w:p w:rsidRPr="006E74C3" w:rsidR="006E74C3" w:rsidP="53DEF7DD" w:rsidRDefault="006E74C3" w14:paraId="6F0279F2" w14:textId="77777777">
      <w:pPr>
        <w:spacing w:before="100" w:beforeAutospacing="on" w:after="100" w:afterAutospacing="on" w:line="360" w:lineRule="auto"/>
        <w:ind w:firstLine="720"/>
        <w:jc w:val="both"/>
        <w:rPr>
          <w:rFonts w:cs="Calibri"/>
          <w:sz w:val="24"/>
          <w:szCs w:val="24"/>
          <w:lang w:val="es-CO"/>
        </w:rPr>
      </w:pPr>
      <w:r w:rsidRPr="53DEF7DD" w:rsidR="12D85281">
        <w:rPr>
          <w:rFonts w:cs="Calibri"/>
          <w:sz w:val="24"/>
          <w:szCs w:val="24"/>
          <w:lang w:val="es-CO"/>
        </w:rPr>
        <w:t>La extracción de arena y grava altera la dinámica natural de los ríos, modificando el equilibrio entre el transporte de sedimentos, la velocidad del flujo y la estabilidad de los cauces. La remoción constante de material del lecho fluvial reduce el soporte natural de las riberas, incrementando los procesos de erosión y socavación.</w:t>
      </w:r>
    </w:p>
    <w:p w:rsidR="53DEF7DD" w:rsidP="53DEF7DD" w:rsidRDefault="53DEF7DD" w14:paraId="26E57663" w14:textId="72BC9BD7">
      <w:pPr>
        <w:spacing w:beforeAutospacing="on" w:afterAutospacing="on" w:line="360" w:lineRule="auto"/>
        <w:ind w:firstLine="720"/>
        <w:jc w:val="both"/>
        <w:rPr>
          <w:rFonts w:cs="Calibri"/>
          <w:sz w:val="24"/>
          <w:szCs w:val="24"/>
          <w:lang w:val="es-CO"/>
        </w:rPr>
      </w:pPr>
    </w:p>
    <w:p w:rsidRPr="006E74C3" w:rsidR="006E74C3" w:rsidP="53DEF7DD" w:rsidRDefault="006E74C3" w14:paraId="4D0D1B38" w14:textId="111F0AB0">
      <w:pPr>
        <w:spacing w:before="100" w:beforeAutospacing="on" w:after="100" w:afterAutospacing="on" w:line="360" w:lineRule="auto"/>
        <w:ind w:firstLine="720"/>
        <w:jc w:val="both"/>
        <w:rPr>
          <w:rFonts w:cs="Calibri"/>
          <w:sz w:val="24"/>
          <w:szCs w:val="24"/>
          <w:lang w:val="es-CO"/>
        </w:rPr>
      </w:pPr>
      <w:r w:rsidRPr="53DEF7DD" w:rsidR="12D85281">
        <w:rPr>
          <w:rFonts w:cs="Calibri"/>
          <w:sz w:val="24"/>
          <w:szCs w:val="24"/>
          <w:lang w:val="es-CO"/>
        </w:rPr>
        <w:t>Como resultado, aumenta el riesgo de deslizamientos y colapsos de riberas, especialmente durante épocas de lluvias y crecientes. Esto genera pérdidas de viviendas, cha</w:t>
      </w:r>
      <w:r w:rsidRPr="53DEF7DD" w:rsidR="3A26D644">
        <w:rPr>
          <w:rFonts w:cs="Calibri"/>
          <w:sz w:val="24"/>
          <w:szCs w:val="24"/>
          <w:lang w:val="es-CO"/>
        </w:rPr>
        <w:t>g</w:t>
      </w:r>
      <w:r w:rsidRPr="53DEF7DD" w:rsidR="12D85281">
        <w:rPr>
          <w:rFonts w:cs="Calibri"/>
          <w:sz w:val="24"/>
          <w:szCs w:val="24"/>
          <w:lang w:val="es-CO"/>
        </w:rPr>
        <w:t>ras y caminos, afectando de manera directa a las poblaciones ribereñas, muchas de las cuales dependen del río para su movilidad, alimentación y subsistencia. Además, la degradación de la vegetación ribereña disminuye la capacidad natural del ecosistema para regular el flujo hídrico, aumentando la vulnerabilidad a inundaciones, deslizamientos o avalanchas.</w:t>
      </w:r>
    </w:p>
    <w:p w:rsidR="00F15D48" w:rsidP="006E74C3" w:rsidRDefault="00F15D48" w14:paraId="48A43177" w14:textId="77777777">
      <w:pPr>
        <w:spacing w:before="100" w:beforeAutospacing="1" w:after="100" w:afterAutospacing="1" w:line="240" w:lineRule="auto"/>
        <w:outlineLvl w:val="1"/>
        <w:rPr>
          <w:rFonts w:cs="Calibri"/>
          <w:sz w:val="24"/>
          <w:szCs w:val="24"/>
          <w:lang w:val="es-CO"/>
        </w:rPr>
      </w:pPr>
    </w:p>
    <w:p w:rsidR="00F15D48" w:rsidP="006E74C3" w:rsidRDefault="00F15D48" w14:paraId="30CB4923" w14:textId="77777777">
      <w:pPr>
        <w:spacing w:before="100" w:beforeAutospacing="1" w:after="100" w:afterAutospacing="1" w:line="240" w:lineRule="auto"/>
        <w:outlineLvl w:val="1"/>
        <w:rPr>
          <w:rFonts w:cs="Calibri"/>
          <w:sz w:val="24"/>
          <w:szCs w:val="24"/>
          <w:lang w:val="es-CO"/>
        </w:rPr>
      </w:pPr>
    </w:p>
    <w:p w:rsidRPr="006E74C3" w:rsidR="006E74C3" w:rsidP="53DEF7DD" w:rsidRDefault="006E74C3" w14:paraId="201D23CF" w14:textId="42E6F17E">
      <w:pPr>
        <w:spacing w:before="100" w:beforeAutospacing="on" w:after="100" w:afterAutospacing="on" w:line="240" w:lineRule="auto"/>
        <w:outlineLvl w:val="1"/>
        <w:rPr>
          <w:rFonts w:cs="Calibri"/>
          <w:sz w:val="24"/>
          <w:szCs w:val="24"/>
          <w:lang w:val="es-CO"/>
        </w:rPr>
      </w:pPr>
      <w:bookmarkStart w:name="_Toc458380393" w:id="1229997607"/>
      <w:r w:rsidRPr="53DEF7DD" w:rsidR="12D85281">
        <w:rPr>
          <w:rFonts w:cs="Calibri"/>
          <w:sz w:val="24"/>
          <w:szCs w:val="24"/>
          <w:lang w:val="es-CO"/>
        </w:rPr>
        <w:t>Matriz de Impactos en la Salud</w:t>
      </w:r>
      <w:bookmarkEnd w:id="1229997607"/>
    </w:p>
    <w:p w:rsidR="006E74C3" w:rsidP="53DEF7DD" w:rsidRDefault="006E74C3" w14:paraId="18F38E19" w14:textId="77777777">
      <w:pPr>
        <w:spacing w:before="100" w:beforeAutospacing="on" w:after="100" w:afterAutospacing="on" w:line="240" w:lineRule="auto"/>
        <w:rPr>
          <w:rFonts w:cs="Calibri"/>
          <w:sz w:val="24"/>
          <w:szCs w:val="24"/>
          <w:lang w:val="es-CO"/>
        </w:rPr>
      </w:pPr>
      <w:r w:rsidRPr="53DEF7DD" w:rsidR="12D85281">
        <w:rPr>
          <w:rFonts w:cs="Calibri"/>
          <w:sz w:val="24"/>
          <w:szCs w:val="24"/>
          <w:lang w:val="es-CO"/>
        </w:rPr>
        <w:t>Actividad: Minería de materiales de arrastre (arena, grava, piedra, sedimentos fluviales)</w:t>
      </w:r>
      <w:r>
        <w:br/>
      </w:r>
      <w:r w:rsidRPr="53DEF7DD" w:rsidR="12D85281">
        <w:rPr>
          <w:rFonts w:cs="Calibri"/>
          <w:sz w:val="24"/>
          <w:szCs w:val="24"/>
          <w:lang w:val="es-CO"/>
        </w:rPr>
        <w:t>Área de influencia: Comunidades ribereñas e indígenas amazónicas</w:t>
      </w:r>
    </w:p>
    <w:p w:rsidR="53DEF7DD" w:rsidP="53DEF7DD" w:rsidRDefault="53DEF7DD" w14:paraId="4B798AFB" w14:textId="0B68BDE7">
      <w:pPr>
        <w:spacing w:beforeAutospacing="on" w:afterAutospacing="on" w:line="240" w:lineRule="auto"/>
        <w:rPr>
          <w:rFonts w:cs="Calibri"/>
          <w:sz w:val="24"/>
          <w:szCs w:val="24"/>
          <w:lang w:val="es-CO"/>
        </w:rPr>
      </w:pPr>
    </w:p>
    <w:p w:rsidRPr="00F15D48" w:rsidR="00F15D48" w:rsidP="00F15D48" w:rsidRDefault="00F15D48" w14:paraId="7C1C5E60" w14:textId="3811D193">
      <w:pPr>
        <w:pStyle w:val="Descripcin"/>
        <w:jc w:val="center"/>
        <w:rPr>
          <w:rFonts w:cs="Calibri"/>
          <w:sz w:val="20"/>
          <w:szCs w:val="20"/>
          <w:lang w:val="es-CO"/>
        </w:rPr>
      </w:pPr>
      <w:bookmarkStart w:name="_Toc216558758" w:id="97"/>
      <w:r w:rsidRPr="00F15D48">
        <w:rPr>
          <w:sz w:val="20"/>
          <w:szCs w:val="20"/>
        </w:rPr>
        <w:t xml:space="preserve">Tabla </w:t>
      </w:r>
      <w:r w:rsidRPr="00F15D48">
        <w:rPr>
          <w:sz w:val="20"/>
          <w:szCs w:val="20"/>
        </w:rPr>
        <w:fldChar w:fldCharType="begin"/>
      </w:r>
      <w:r w:rsidRPr="00F15D48">
        <w:rPr>
          <w:sz w:val="20"/>
          <w:szCs w:val="20"/>
        </w:rPr>
        <w:instrText xml:space="preserve"> SEQ Tabla \* ARABIC </w:instrText>
      </w:r>
      <w:r w:rsidRPr="00F15D48">
        <w:rPr>
          <w:sz w:val="20"/>
          <w:szCs w:val="20"/>
        </w:rPr>
        <w:fldChar w:fldCharType="separate"/>
      </w:r>
      <w:r w:rsidR="00EE79CE">
        <w:rPr>
          <w:noProof/>
          <w:sz w:val="20"/>
          <w:szCs w:val="20"/>
        </w:rPr>
        <w:t>14</w:t>
      </w:r>
      <w:r w:rsidRPr="00F15D48">
        <w:rPr>
          <w:sz w:val="20"/>
          <w:szCs w:val="20"/>
        </w:rPr>
        <w:fldChar w:fldCharType="end"/>
      </w:r>
      <w:r w:rsidRPr="00F15D48">
        <w:rPr>
          <w:sz w:val="20"/>
          <w:szCs w:val="20"/>
        </w:rPr>
        <w:t xml:space="preserve"> Matriz de impactos en la salud asociados a procesos de extracción de materiales de arrastre</w:t>
      </w:r>
      <w:bookmarkEnd w:id="97"/>
    </w:p>
    <w:tbl>
      <w:tblPr>
        <w:tblW w:w="5000" w:type="pct"/>
        <w:tblCellMar>
          <w:left w:w="70" w:type="dxa"/>
          <w:right w:w="70" w:type="dxa"/>
        </w:tblCellMar>
        <w:tblLook w:val="04A0" w:firstRow="1" w:lastRow="0" w:firstColumn="1" w:lastColumn="0" w:noHBand="0" w:noVBand="1"/>
      </w:tblPr>
      <w:tblGrid>
        <w:gridCol w:w="1554"/>
        <w:gridCol w:w="1053"/>
        <w:gridCol w:w="1220"/>
        <w:gridCol w:w="3064"/>
        <w:gridCol w:w="1318"/>
        <w:gridCol w:w="1141"/>
      </w:tblGrid>
      <w:tr w:rsidRPr="006E74C3" w:rsidR="006E74C3" w:rsidTr="004C288A" w14:paraId="1BBAF861" w14:textId="77777777">
        <w:trPr>
          <w:trHeight w:val="630"/>
        </w:trPr>
        <w:tc>
          <w:tcPr>
            <w:tcW w:w="832" w:type="pct"/>
            <w:tcBorders>
              <w:top w:val="single" w:color="auto" w:sz="4" w:space="0"/>
              <w:left w:val="single" w:color="auto" w:sz="4" w:space="0"/>
              <w:bottom w:val="single" w:color="auto" w:sz="4" w:space="0"/>
              <w:right w:val="single" w:color="auto" w:sz="4" w:space="0"/>
            </w:tcBorders>
            <w:shd w:val="clear" w:color="000000" w:fill="002060"/>
            <w:vAlign w:val="center"/>
            <w:hideMark/>
          </w:tcPr>
          <w:p w:rsidRPr="00D84FFE" w:rsidR="006E74C3" w:rsidP="00825ECC" w:rsidRDefault="006E74C3" w14:paraId="529F1D03" w14:textId="77777777">
            <w:pPr>
              <w:spacing w:after="0" w:line="240" w:lineRule="auto"/>
              <w:jc w:val="center"/>
              <w:rPr>
                <w:rFonts w:cs="Calibri"/>
                <w:sz w:val="20"/>
                <w:szCs w:val="20"/>
                <w:lang w:val="es-CO"/>
              </w:rPr>
            </w:pPr>
            <w:r w:rsidRPr="00D84FFE">
              <w:rPr>
                <w:rFonts w:cs="Calibri"/>
                <w:sz w:val="20"/>
                <w:szCs w:val="20"/>
                <w:lang w:val="es-CO"/>
              </w:rPr>
              <w:t>Actividad / Presión</w:t>
            </w:r>
          </w:p>
        </w:tc>
        <w:tc>
          <w:tcPr>
            <w:tcW w:w="561" w:type="pct"/>
            <w:tcBorders>
              <w:top w:val="single" w:color="auto" w:sz="4" w:space="0"/>
              <w:left w:val="nil"/>
              <w:bottom w:val="single" w:color="auto" w:sz="4" w:space="0"/>
              <w:right w:val="single" w:color="auto" w:sz="4" w:space="0"/>
            </w:tcBorders>
            <w:shd w:val="clear" w:color="000000" w:fill="002060"/>
            <w:vAlign w:val="center"/>
            <w:hideMark/>
          </w:tcPr>
          <w:p w:rsidRPr="00D84FFE" w:rsidR="006E74C3" w:rsidP="00825ECC" w:rsidRDefault="006E74C3" w14:paraId="3D28E451" w14:textId="77777777">
            <w:pPr>
              <w:spacing w:after="0" w:line="240" w:lineRule="auto"/>
              <w:jc w:val="center"/>
              <w:rPr>
                <w:rFonts w:cs="Calibri"/>
                <w:sz w:val="20"/>
                <w:szCs w:val="20"/>
                <w:lang w:val="es-CO"/>
              </w:rPr>
            </w:pPr>
            <w:r w:rsidRPr="00D84FFE">
              <w:rPr>
                <w:rFonts w:cs="Calibri"/>
                <w:sz w:val="20"/>
                <w:szCs w:val="20"/>
                <w:lang w:val="es-CO"/>
              </w:rPr>
              <w:t>Factor ambiental afectado</w:t>
            </w:r>
          </w:p>
        </w:tc>
        <w:tc>
          <w:tcPr>
            <w:tcW w:w="653" w:type="pct"/>
            <w:tcBorders>
              <w:top w:val="single" w:color="auto" w:sz="4" w:space="0"/>
              <w:left w:val="nil"/>
              <w:bottom w:val="single" w:color="auto" w:sz="4" w:space="0"/>
              <w:right w:val="single" w:color="auto" w:sz="4" w:space="0"/>
            </w:tcBorders>
            <w:shd w:val="clear" w:color="000000" w:fill="002060"/>
            <w:vAlign w:val="center"/>
            <w:hideMark/>
          </w:tcPr>
          <w:p w:rsidRPr="00D84FFE" w:rsidR="006E74C3" w:rsidP="00825ECC" w:rsidRDefault="006E74C3" w14:paraId="64CBC44D" w14:textId="77777777">
            <w:pPr>
              <w:spacing w:after="0" w:line="240" w:lineRule="auto"/>
              <w:jc w:val="center"/>
              <w:rPr>
                <w:rFonts w:cs="Calibri"/>
                <w:sz w:val="20"/>
                <w:szCs w:val="20"/>
                <w:lang w:val="es-CO"/>
              </w:rPr>
            </w:pPr>
            <w:r w:rsidRPr="00D84FFE">
              <w:rPr>
                <w:rFonts w:cs="Calibri"/>
                <w:sz w:val="20"/>
                <w:szCs w:val="20"/>
                <w:lang w:val="es-CO"/>
              </w:rPr>
              <w:t>Tipo de impacto en la salud</w:t>
            </w:r>
          </w:p>
        </w:tc>
        <w:tc>
          <w:tcPr>
            <w:tcW w:w="1639" w:type="pct"/>
            <w:tcBorders>
              <w:top w:val="single" w:color="auto" w:sz="4" w:space="0"/>
              <w:left w:val="nil"/>
              <w:bottom w:val="single" w:color="auto" w:sz="4" w:space="0"/>
              <w:right w:val="single" w:color="auto" w:sz="4" w:space="0"/>
            </w:tcBorders>
            <w:shd w:val="clear" w:color="000000" w:fill="002060"/>
            <w:vAlign w:val="center"/>
            <w:hideMark/>
          </w:tcPr>
          <w:p w:rsidRPr="00D84FFE" w:rsidR="006E74C3" w:rsidP="00825ECC" w:rsidRDefault="006E74C3" w14:paraId="7836A5BF" w14:textId="77777777">
            <w:pPr>
              <w:spacing w:after="0" w:line="240" w:lineRule="auto"/>
              <w:jc w:val="center"/>
              <w:rPr>
                <w:rFonts w:cs="Calibri"/>
                <w:sz w:val="20"/>
                <w:szCs w:val="20"/>
                <w:lang w:val="es-CO"/>
              </w:rPr>
            </w:pPr>
            <w:r w:rsidRPr="00D84FFE">
              <w:rPr>
                <w:rFonts w:cs="Calibri"/>
                <w:sz w:val="20"/>
                <w:szCs w:val="20"/>
                <w:lang w:val="es-CO"/>
              </w:rPr>
              <w:t>Descripción del impacto</w:t>
            </w:r>
          </w:p>
        </w:tc>
        <w:tc>
          <w:tcPr>
            <w:tcW w:w="705" w:type="pct"/>
            <w:tcBorders>
              <w:top w:val="single" w:color="auto" w:sz="4" w:space="0"/>
              <w:left w:val="nil"/>
              <w:bottom w:val="single" w:color="auto" w:sz="4" w:space="0"/>
              <w:right w:val="single" w:color="auto" w:sz="4" w:space="0"/>
            </w:tcBorders>
            <w:shd w:val="clear" w:color="000000" w:fill="002060"/>
            <w:vAlign w:val="center"/>
            <w:hideMark/>
          </w:tcPr>
          <w:p w:rsidRPr="00D84FFE" w:rsidR="006E74C3" w:rsidP="00825ECC" w:rsidRDefault="006E74C3" w14:paraId="6381802E" w14:textId="77777777">
            <w:pPr>
              <w:spacing w:after="0" w:line="240" w:lineRule="auto"/>
              <w:jc w:val="center"/>
              <w:rPr>
                <w:rFonts w:cs="Calibri"/>
                <w:sz w:val="20"/>
                <w:szCs w:val="20"/>
                <w:lang w:val="es-CO"/>
              </w:rPr>
            </w:pPr>
            <w:r w:rsidRPr="00D84FFE">
              <w:rPr>
                <w:rFonts w:cs="Calibri"/>
                <w:sz w:val="20"/>
                <w:szCs w:val="20"/>
                <w:lang w:val="es-CO"/>
              </w:rPr>
              <w:t>Población vulnerable</w:t>
            </w:r>
          </w:p>
        </w:tc>
        <w:tc>
          <w:tcPr>
            <w:tcW w:w="610" w:type="pct"/>
            <w:tcBorders>
              <w:top w:val="single" w:color="auto" w:sz="4" w:space="0"/>
              <w:left w:val="nil"/>
              <w:bottom w:val="single" w:color="auto" w:sz="4" w:space="0"/>
              <w:right w:val="single" w:color="auto" w:sz="4" w:space="0"/>
            </w:tcBorders>
            <w:shd w:val="clear" w:color="000000" w:fill="002060"/>
            <w:vAlign w:val="center"/>
            <w:hideMark/>
          </w:tcPr>
          <w:p w:rsidRPr="00D84FFE" w:rsidR="006E74C3" w:rsidP="00825ECC" w:rsidRDefault="006E74C3" w14:paraId="7A1F3ED9" w14:textId="77777777">
            <w:pPr>
              <w:spacing w:after="0" w:line="240" w:lineRule="auto"/>
              <w:jc w:val="center"/>
              <w:rPr>
                <w:rFonts w:cs="Calibri"/>
                <w:sz w:val="20"/>
                <w:szCs w:val="20"/>
                <w:lang w:val="es-CO"/>
              </w:rPr>
            </w:pPr>
            <w:r w:rsidRPr="00D84FFE">
              <w:rPr>
                <w:rFonts w:cs="Calibri"/>
                <w:sz w:val="20"/>
                <w:szCs w:val="20"/>
                <w:lang w:val="es-CO"/>
              </w:rPr>
              <w:t>Carácter del impacto</w:t>
            </w:r>
          </w:p>
        </w:tc>
      </w:tr>
      <w:tr w:rsidRPr="006E74C3" w:rsidR="006E74C3" w:rsidTr="004C288A" w14:paraId="4F5BD956" w14:textId="77777777">
        <w:trPr>
          <w:trHeight w:val="1080"/>
        </w:trPr>
        <w:tc>
          <w:tcPr>
            <w:tcW w:w="832" w:type="pct"/>
            <w:tcBorders>
              <w:top w:val="nil"/>
              <w:left w:val="single" w:color="auto" w:sz="4" w:space="0"/>
              <w:bottom w:val="single" w:color="auto" w:sz="4" w:space="0"/>
              <w:right w:val="single" w:color="auto" w:sz="4" w:space="0"/>
            </w:tcBorders>
            <w:vAlign w:val="center"/>
            <w:hideMark/>
          </w:tcPr>
          <w:p w:rsidRPr="00D84FFE" w:rsidR="006E74C3" w:rsidP="00825ECC" w:rsidRDefault="006E74C3" w14:paraId="6ED76A4A" w14:textId="77777777">
            <w:pPr>
              <w:spacing w:after="0" w:line="240" w:lineRule="auto"/>
              <w:rPr>
                <w:rFonts w:cs="Calibri"/>
                <w:sz w:val="20"/>
                <w:szCs w:val="20"/>
                <w:lang w:val="es-CO"/>
              </w:rPr>
            </w:pPr>
            <w:r w:rsidRPr="00D84FFE">
              <w:rPr>
                <w:rFonts w:cs="Calibri"/>
                <w:sz w:val="20"/>
                <w:szCs w:val="20"/>
                <w:lang w:val="es-CO"/>
              </w:rPr>
              <w:t>Remoción de sedimentos del lecho del río</w:t>
            </w:r>
          </w:p>
        </w:tc>
        <w:tc>
          <w:tcPr>
            <w:tcW w:w="561" w:type="pct"/>
            <w:tcBorders>
              <w:top w:val="nil"/>
              <w:left w:val="nil"/>
              <w:bottom w:val="single" w:color="auto" w:sz="4" w:space="0"/>
              <w:right w:val="single" w:color="auto" w:sz="4" w:space="0"/>
            </w:tcBorders>
            <w:vAlign w:val="center"/>
            <w:hideMark/>
          </w:tcPr>
          <w:p w:rsidRPr="00D84FFE" w:rsidR="006E74C3" w:rsidP="00825ECC" w:rsidRDefault="006E74C3" w14:paraId="59159CE8" w14:textId="77777777">
            <w:pPr>
              <w:spacing w:after="0" w:line="240" w:lineRule="auto"/>
              <w:rPr>
                <w:rFonts w:cs="Calibri"/>
                <w:sz w:val="20"/>
                <w:szCs w:val="20"/>
                <w:lang w:val="es-CO"/>
              </w:rPr>
            </w:pPr>
            <w:r w:rsidRPr="00D84FFE">
              <w:rPr>
                <w:rFonts w:cs="Calibri"/>
                <w:sz w:val="20"/>
                <w:szCs w:val="20"/>
                <w:lang w:val="es-CO"/>
              </w:rPr>
              <w:t>Agua superficial</w:t>
            </w:r>
          </w:p>
        </w:tc>
        <w:tc>
          <w:tcPr>
            <w:tcW w:w="653" w:type="pct"/>
            <w:tcBorders>
              <w:top w:val="nil"/>
              <w:left w:val="nil"/>
              <w:bottom w:val="single" w:color="auto" w:sz="4" w:space="0"/>
              <w:right w:val="single" w:color="auto" w:sz="4" w:space="0"/>
            </w:tcBorders>
            <w:vAlign w:val="center"/>
            <w:hideMark/>
          </w:tcPr>
          <w:p w:rsidRPr="00D84FFE" w:rsidR="006E74C3" w:rsidP="00825ECC" w:rsidRDefault="006E74C3" w14:paraId="2D314C38" w14:textId="77777777">
            <w:pPr>
              <w:spacing w:after="0" w:line="240" w:lineRule="auto"/>
              <w:rPr>
                <w:rFonts w:cs="Calibri"/>
                <w:sz w:val="20"/>
                <w:szCs w:val="20"/>
                <w:lang w:val="es-CO"/>
              </w:rPr>
            </w:pPr>
            <w:r w:rsidRPr="00D84FFE">
              <w:rPr>
                <w:rFonts w:cs="Calibri"/>
                <w:sz w:val="20"/>
                <w:szCs w:val="20"/>
                <w:lang w:val="es-CO"/>
              </w:rPr>
              <w:t>Físico</w:t>
            </w:r>
          </w:p>
        </w:tc>
        <w:tc>
          <w:tcPr>
            <w:tcW w:w="1639" w:type="pct"/>
            <w:tcBorders>
              <w:top w:val="nil"/>
              <w:left w:val="nil"/>
              <w:bottom w:val="single" w:color="auto" w:sz="4" w:space="0"/>
              <w:right w:val="single" w:color="auto" w:sz="4" w:space="0"/>
            </w:tcBorders>
            <w:vAlign w:val="center"/>
            <w:hideMark/>
          </w:tcPr>
          <w:p w:rsidRPr="00D84FFE" w:rsidR="006E74C3" w:rsidP="00825ECC" w:rsidRDefault="006E74C3" w14:paraId="5745D550" w14:textId="77777777">
            <w:pPr>
              <w:spacing w:after="0" w:line="240" w:lineRule="auto"/>
              <w:rPr>
                <w:rFonts w:cs="Calibri"/>
                <w:sz w:val="20"/>
                <w:szCs w:val="20"/>
                <w:lang w:val="es-CO"/>
              </w:rPr>
            </w:pPr>
            <w:r w:rsidRPr="00D84FFE">
              <w:rPr>
                <w:rFonts w:cs="Calibri"/>
                <w:sz w:val="20"/>
                <w:szCs w:val="20"/>
                <w:lang w:val="es-CO"/>
              </w:rPr>
              <w:t>Incremento de turbidez y liberación de contaminantes que pueden provocar enfermedades gastrointestinales, parasitosis y afecciones dérmicas por contacto con agua contaminada</w:t>
            </w:r>
          </w:p>
        </w:tc>
        <w:tc>
          <w:tcPr>
            <w:tcW w:w="705" w:type="pct"/>
            <w:tcBorders>
              <w:top w:val="nil"/>
              <w:left w:val="nil"/>
              <w:bottom w:val="single" w:color="auto" w:sz="4" w:space="0"/>
              <w:right w:val="single" w:color="auto" w:sz="4" w:space="0"/>
            </w:tcBorders>
            <w:vAlign w:val="center"/>
            <w:hideMark/>
          </w:tcPr>
          <w:p w:rsidRPr="00D84FFE" w:rsidR="006E74C3" w:rsidP="00825ECC" w:rsidRDefault="006E74C3" w14:paraId="2D153727" w14:textId="77777777">
            <w:pPr>
              <w:spacing w:after="0" w:line="240" w:lineRule="auto"/>
              <w:rPr>
                <w:rFonts w:cs="Calibri"/>
                <w:sz w:val="20"/>
                <w:szCs w:val="20"/>
                <w:lang w:val="es-CO"/>
              </w:rPr>
            </w:pPr>
            <w:r w:rsidRPr="00D84FFE">
              <w:rPr>
                <w:rFonts w:cs="Calibri"/>
                <w:sz w:val="20"/>
                <w:szCs w:val="20"/>
                <w:lang w:val="es-CO"/>
              </w:rPr>
              <w:t>Niños, adultos mayores, comunidades indígenas</w:t>
            </w:r>
          </w:p>
        </w:tc>
        <w:tc>
          <w:tcPr>
            <w:tcW w:w="610" w:type="pct"/>
            <w:tcBorders>
              <w:top w:val="nil"/>
              <w:left w:val="nil"/>
              <w:bottom w:val="single" w:color="auto" w:sz="4" w:space="0"/>
              <w:right w:val="single" w:color="auto" w:sz="4" w:space="0"/>
            </w:tcBorders>
            <w:vAlign w:val="center"/>
            <w:hideMark/>
          </w:tcPr>
          <w:p w:rsidRPr="00D84FFE" w:rsidR="006E74C3" w:rsidP="00825ECC" w:rsidRDefault="006E74C3" w14:paraId="21F1ABE3" w14:textId="77777777">
            <w:pPr>
              <w:spacing w:after="0" w:line="240" w:lineRule="auto"/>
              <w:rPr>
                <w:rFonts w:cs="Calibri"/>
                <w:sz w:val="20"/>
                <w:szCs w:val="20"/>
                <w:lang w:val="es-CO"/>
              </w:rPr>
            </w:pPr>
            <w:r w:rsidRPr="00D84FFE">
              <w:rPr>
                <w:rFonts w:cs="Calibri"/>
                <w:sz w:val="20"/>
                <w:szCs w:val="20"/>
                <w:lang w:val="es-CO"/>
              </w:rPr>
              <w:t>Negativo, directo, acumulativo</w:t>
            </w:r>
          </w:p>
        </w:tc>
      </w:tr>
      <w:tr w:rsidRPr="006E74C3" w:rsidR="006E74C3" w:rsidTr="004C288A" w14:paraId="28FC07DD" w14:textId="77777777">
        <w:trPr>
          <w:trHeight w:val="615"/>
        </w:trPr>
        <w:tc>
          <w:tcPr>
            <w:tcW w:w="832" w:type="pct"/>
            <w:tcBorders>
              <w:top w:val="nil"/>
              <w:left w:val="single" w:color="auto" w:sz="4" w:space="0"/>
              <w:bottom w:val="single" w:color="auto" w:sz="4" w:space="0"/>
              <w:right w:val="single" w:color="auto" w:sz="4" w:space="0"/>
            </w:tcBorders>
            <w:vAlign w:val="center"/>
            <w:hideMark/>
          </w:tcPr>
          <w:p w:rsidRPr="00D84FFE" w:rsidR="006E74C3" w:rsidP="00825ECC" w:rsidRDefault="006E74C3" w14:paraId="11ADA916" w14:textId="77777777">
            <w:pPr>
              <w:spacing w:after="0" w:line="240" w:lineRule="auto"/>
              <w:rPr>
                <w:rFonts w:cs="Calibri"/>
                <w:sz w:val="20"/>
                <w:szCs w:val="20"/>
                <w:lang w:val="es-CO"/>
              </w:rPr>
            </w:pPr>
            <w:r w:rsidRPr="00D84FFE">
              <w:rPr>
                <w:rFonts w:cs="Calibri"/>
                <w:sz w:val="20"/>
                <w:szCs w:val="20"/>
                <w:lang w:val="es-CO"/>
              </w:rPr>
              <w:t>Alteración del cauce y riberas</w:t>
            </w:r>
          </w:p>
        </w:tc>
        <w:tc>
          <w:tcPr>
            <w:tcW w:w="561" w:type="pct"/>
            <w:tcBorders>
              <w:top w:val="nil"/>
              <w:left w:val="nil"/>
              <w:bottom w:val="single" w:color="auto" w:sz="4" w:space="0"/>
              <w:right w:val="single" w:color="auto" w:sz="4" w:space="0"/>
            </w:tcBorders>
            <w:vAlign w:val="center"/>
            <w:hideMark/>
          </w:tcPr>
          <w:p w:rsidRPr="00D84FFE" w:rsidR="006E74C3" w:rsidP="00825ECC" w:rsidRDefault="006E74C3" w14:paraId="4E3C7999" w14:textId="77777777">
            <w:pPr>
              <w:spacing w:after="0" w:line="240" w:lineRule="auto"/>
              <w:rPr>
                <w:rFonts w:cs="Calibri"/>
                <w:sz w:val="20"/>
                <w:szCs w:val="20"/>
                <w:lang w:val="es-CO"/>
              </w:rPr>
            </w:pPr>
            <w:r w:rsidRPr="00D84FFE">
              <w:rPr>
                <w:rFonts w:cs="Calibri"/>
                <w:sz w:val="20"/>
                <w:szCs w:val="20"/>
                <w:lang w:val="es-CO"/>
              </w:rPr>
              <w:t>Agua y suelo</w:t>
            </w:r>
          </w:p>
        </w:tc>
        <w:tc>
          <w:tcPr>
            <w:tcW w:w="653" w:type="pct"/>
            <w:tcBorders>
              <w:top w:val="nil"/>
              <w:left w:val="nil"/>
              <w:bottom w:val="single" w:color="auto" w:sz="4" w:space="0"/>
              <w:right w:val="single" w:color="auto" w:sz="4" w:space="0"/>
            </w:tcBorders>
            <w:vAlign w:val="center"/>
            <w:hideMark/>
          </w:tcPr>
          <w:p w:rsidRPr="00D84FFE" w:rsidR="006E74C3" w:rsidP="00825ECC" w:rsidRDefault="006E74C3" w14:paraId="0111BCCD" w14:textId="77777777">
            <w:pPr>
              <w:spacing w:after="0" w:line="240" w:lineRule="auto"/>
              <w:rPr>
                <w:rFonts w:cs="Calibri"/>
                <w:sz w:val="20"/>
                <w:szCs w:val="20"/>
                <w:lang w:val="es-CO"/>
              </w:rPr>
            </w:pPr>
            <w:r w:rsidRPr="00D84FFE">
              <w:rPr>
                <w:rFonts w:cs="Calibri"/>
                <w:sz w:val="20"/>
                <w:szCs w:val="20"/>
                <w:lang w:val="es-CO"/>
              </w:rPr>
              <w:t>Físico / Social</w:t>
            </w:r>
          </w:p>
        </w:tc>
        <w:tc>
          <w:tcPr>
            <w:tcW w:w="1639" w:type="pct"/>
            <w:tcBorders>
              <w:top w:val="nil"/>
              <w:left w:val="nil"/>
              <w:bottom w:val="single" w:color="auto" w:sz="4" w:space="0"/>
              <w:right w:val="single" w:color="auto" w:sz="4" w:space="0"/>
            </w:tcBorders>
            <w:vAlign w:val="center"/>
            <w:hideMark/>
          </w:tcPr>
          <w:p w:rsidRPr="00D84FFE" w:rsidR="006E74C3" w:rsidP="00825ECC" w:rsidRDefault="006E74C3" w14:paraId="2084AC43" w14:textId="77777777">
            <w:pPr>
              <w:spacing w:after="0" w:line="240" w:lineRule="auto"/>
              <w:rPr>
                <w:rFonts w:cs="Calibri"/>
                <w:sz w:val="20"/>
                <w:szCs w:val="20"/>
                <w:lang w:val="es-CO"/>
              </w:rPr>
            </w:pPr>
            <w:r w:rsidRPr="00D84FFE">
              <w:rPr>
                <w:rFonts w:cs="Calibri"/>
                <w:sz w:val="20"/>
                <w:szCs w:val="20"/>
                <w:lang w:val="es-CO"/>
              </w:rPr>
              <w:t>Pérdida de acceso a agua segura y afectación de actividades de pesca y uso doméstico del río</w:t>
            </w:r>
          </w:p>
        </w:tc>
        <w:tc>
          <w:tcPr>
            <w:tcW w:w="705" w:type="pct"/>
            <w:tcBorders>
              <w:top w:val="nil"/>
              <w:left w:val="nil"/>
              <w:bottom w:val="single" w:color="auto" w:sz="4" w:space="0"/>
              <w:right w:val="single" w:color="auto" w:sz="4" w:space="0"/>
            </w:tcBorders>
            <w:vAlign w:val="center"/>
            <w:hideMark/>
          </w:tcPr>
          <w:p w:rsidRPr="00D84FFE" w:rsidR="006E74C3" w:rsidP="00825ECC" w:rsidRDefault="006E74C3" w14:paraId="1CD14B21" w14:textId="77777777">
            <w:pPr>
              <w:spacing w:after="0" w:line="240" w:lineRule="auto"/>
              <w:rPr>
                <w:rFonts w:cs="Calibri"/>
                <w:sz w:val="20"/>
                <w:szCs w:val="20"/>
                <w:lang w:val="es-CO"/>
              </w:rPr>
            </w:pPr>
            <w:r w:rsidRPr="00D84FFE">
              <w:rPr>
                <w:rFonts w:cs="Calibri"/>
                <w:sz w:val="20"/>
                <w:szCs w:val="20"/>
                <w:lang w:val="es-CO"/>
              </w:rPr>
              <w:t>Comunidades ribereñas</w:t>
            </w:r>
          </w:p>
        </w:tc>
        <w:tc>
          <w:tcPr>
            <w:tcW w:w="610" w:type="pct"/>
            <w:tcBorders>
              <w:top w:val="nil"/>
              <w:left w:val="nil"/>
              <w:bottom w:val="single" w:color="auto" w:sz="4" w:space="0"/>
              <w:right w:val="single" w:color="auto" w:sz="4" w:space="0"/>
            </w:tcBorders>
            <w:vAlign w:val="center"/>
            <w:hideMark/>
          </w:tcPr>
          <w:p w:rsidRPr="00D84FFE" w:rsidR="006E74C3" w:rsidP="00825ECC" w:rsidRDefault="006E74C3" w14:paraId="243BE63A" w14:textId="77777777">
            <w:pPr>
              <w:spacing w:after="0" w:line="240" w:lineRule="auto"/>
              <w:rPr>
                <w:rFonts w:cs="Calibri"/>
                <w:sz w:val="20"/>
                <w:szCs w:val="20"/>
                <w:lang w:val="es-CO"/>
              </w:rPr>
            </w:pPr>
            <w:r w:rsidRPr="00D84FFE">
              <w:rPr>
                <w:rFonts w:cs="Calibri"/>
                <w:sz w:val="20"/>
                <w:szCs w:val="20"/>
                <w:lang w:val="es-CO"/>
              </w:rPr>
              <w:t>Negativo, directo</w:t>
            </w:r>
          </w:p>
        </w:tc>
      </w:tr>
      <w:tr w:rsidRPr="006E74C3" w:rsidR="006E74C3" w:rsidTr="004C288A" w14:paraId="500F87E7" w14:textId="77777777">
        <w:trPr>
          <w:trHeight w:val="1230"/>
        </w:trPr>
        <w:tc>
          <w:tcPr>
            <w:tcW w:w="832" w:type="pct"/>
            <w:tcBorders>
              <w:top w:val="nil"/>
              <w:left w:val="single" w:color="auto" w:sz="4" w:space="0"/>
              <w:bottom w:val="single" w:color="auto" w:sz="4" w:space="0"/>
              <w:right w:val="single" w:color="auto" w:sz="4" w:space="0"/>
            </w:tcBorders>
            <w:vAlign w:val="center"/>
            <w:hideMark/>
          </w:tcPr>
          <w:p w:rsidRPr="00D84FFE" w:rsidR="006E74C3" w:rsidP="00825ECC" w:rsidRDefault="006E74C3" w14:paraId="67C681BC" w14:textId="77777777">
            <w:pPr>
              <w:spacing w:after="0" w:line="240" w:lineRule="auto"/>
              <w:rPr>
                <w:rFonts w:cs="Calibri"/>
                <w:sz w:val="20"/>
                <w:szCs w:val="20"/>
                <w:lang w:val="es-CO"/>
              </w:rPr>
            </w:pPr>
            <w:r w:rsidRPr="00D84FFE">
              <w:rPr>
                <w:rFonts w:cs="Calibri"/>
                <w:sz w:val="20"/>
                <w:szCs w:val="20"/>
                <w:lang w:val="es-CO"/>
              </w:rPr>
              <w:t>Uso de maquinaria pesada y trituración de materiales</w:t>
            </w:r>
          </w:p>
        </w:tc>
        <w:tc>
          <w:tcPr>
            <w:tcW w:w="561" w:type="pct"/>
            <w:tcBorders>
              <w:top w:val="nil"/>
              <w:left w:val="nil"/>
              <w:bottom w:val="single" w:color="auto" w:sz="4" w:space="0"/>
              <w:right w:val="single" w:color="auto" w:sz="4" w:space="0"/>
            </w:tcBorders>
            <w:vAlign w:val="center"/>
            <w:hideMark/>
          </w:tcPr>
          <w:p w:rsidRPr="00D84FFE" w:rsidR="006E74C3" w:rsidP="00825ECC" w:rsidRDefault="006E74C3" w14:paraId="456C06B0" w14:textId="77777777">
            <w:pPr>
              <w:spacing w:after="0" w:line="240" w:lineRule="auto"/>
              <w:rPr>
                <w:rFonts w:cs="Calibri"/>
                <w:sz w:val="20"/>
                <w:szCs w:val="20"/>
                <w:lang w:val="es-CO"/>
              </w:rPr>
            </w:pPr>
            <w:r w:rsidRPr="00D84FFE">
              <w:rPr>
                <w:rFonts w:cs="Calibri"/>
                <w:sz w:val="20"/>
                <w:szCs w:val="20"/>
                <w:lang w:val="es-CO"/>
              </w:rPr>
              <w:t>Aire</w:t>
            </w:r>
          </w:p>
        </w:tc>
        <w:tc>
          <w:tcPr>
            <w:tcW w:w="653" w:type="pct"/>
            <w:tcBorders>
              <w:top w:val="nil"/>
              <w:left w:val="nil"/>
              <w:bottom w:val="single" w:color="auto" w:sz="4" w:space="0"/>
              <w:right w:val="single" w:color="auto" w:sz="4" w:space="0"/>
            </w:tcBorders>
            <w:vAlign w:val="center"/>
            <w:hideMark/>
          </w:tcPr>
          <w:p w:rsidRPr="00D84FFE" w:rsidR="006E74C3" w:rsidP="00825ECC" w:rsidRDefault="006E74C3" w14:paraId="5C4979FC" w14:textId="77777777">
            <w:pPr>
              <w:spacing w:after="0" w:line="240" w:lineRule="auto"/>
              <w:rPr>
                <w:rFonts w:cs="Calibri"/>
                <w:sz w:val="20"/>
                <w:szCs w:val="20"/>
                <w:lang w:val="es-CO"/>
              </w:rPr>
            </w:pPr>
            <w:r w:rsidRPr="00D84FFE">
              <w:rPr>
                <w:rFonts w:cs="Calibri"/>
                <w:sz w:val="20"/>
                <w:szCs w:val="20"/>
                <w:lang w:val="es-CO"/>
              </w:rPr>
              <w:t>Físico</w:t>
            </w:r>
          </w:p>
        </w:tc>
        <w:tc>
          <w:tcPr>
            <w:tcW w:w="1639" w:type="pct"/>
            <w:tcBorders>
              <w:top w:val="nil"/>
              <w:left w:val="nil"/>
              <w:bottom w:val="single" w:color="auto" w:sz="4" w:space="0"/>
              <w:right w:val="single" w:color="auto" w:sz="4" w:space="0"/>
            </w:tcBorders>
            <w:vAlign w:val="center"/>
            <w:hideMark/>
          </w:tcPr>
          <w:p w:rsidRPr="00D84FFE" w:rsidR="006E74C3" w:rsidP="00825ECC" w:rsidRDefault="006E74C3" w14:paraId="09D98F8B" w14:textId="77777777">
            <w:pPr>
              <w:spacing w:after="0" w:line="240" w:lineRule="auto"/>
              <w:rPr>
                <w:rFonts w:cs="Calibri"/>
                <w:sz w:val="20"/>
                <w:szCs w:val="20"/>
                <w:lang w:val="es-CO"/>
              </w:rPr>
            </w:pPr>
            <w:r w:rsidRPr="00D84FFE">
              <w:rPr>
                <w:rFonts w:cs="Calibri"/>
                <w:sz w:val="20"/>
                <w:szCs w:val="20"/>
                <w:lang w:val="es-CO"/>
              </w:rPr>
              <w:t>Emisión de material particulado (PM10, PM2.5, PM1) que puede causar asma, bronquitis, alergias, irritación ocular y enfermedades respiratorias crónicas</w:t>
            </w:r>
          </w:p>
        </w:tc>
        <w:tc>
          <w:tcPr>
            <w:tcW w:w="705" w:type="pct"/>
            <w:tcBorders>
              <w:top w:val="nil"/>
              <w:left w:val="nil"/>
              <w:bottom w:val="single" w:color="auto" w:sz="4" w:space="0"/>
              <w:right w:val="single" w:color="auto" w:sz="4" w:space="0"/>
            </w:tcBorders>
            <w:vAlign w:val="center"/>
            <w:hideMark/>
          </w:tcPr>
          <w:p w:rsidRPr="00D84FFE" w:rsidR="006E74C3" w:rsidP="00825ECC" w:rsidRDefault="006E74C3" w14:paraId="7A64768C" w14:textId="77777777">
            <w:pPr>
              <w:spacing w:after="0" w:line="240" w:lineRule="auto"/>
              <w:rPr>
                <w:rFonts w:cs="Calibri"/>
                <w:sz w:val="20"/>
                <w:szCs w:val="20"/>
                <w:lang w:val="es-CO"/>
              </w:rPr>
            </w:pPr>
            <w:r w:rsidRPr="00D84FFE">
              <w:rPr>
                <w:rFonts w:cs="Calibri"/>
                <w:sz w:val="20"/>
                <w:szCs w:val="20"/>
                <w:lang w:val="es-CO"/>
              </w:rPr>
              <w:t>Niños, personas con enfermedades respiratorias</w:t>
            </w:r>
          </w:p>
        </w:tc>
        <w:tc>
          <w:tcPr>
            <w:tcW w:w="610" w:type="pct"/>
            <w:tcBorders>
              <w:top w:val="nil"/>
              <w:left w:val="nil"/>
              <w:bottom w:val="single" w:color="auto" w:sz="4" w:space="0"/>
              <w:right w:val="single" w:color="auto" w:sz="4" w:space="0"/>
            </w:tcBorders>
            <w:vAlign w:val="center"/>
            <w:hideMark/>
          </w:tcPr>
          <w:p w:rsidRPr="00D84FFE" w:rsidR="006E74C3" w:rsidP="00825ECC" w:rsidRDefault="006E74C3" w14:paraId="7B24DBC1" w14:textId="77777777">
            <w:pPr>
              <w:spacing w:after="0" w:line="240" w:lineRule="auto"/>
              <w:rPr>
                <w:rFonts w:cs="Calibri"/>
                <w:sz w:val="20"/>
                <w:szCs w:val="20"/>
                <w:lang w:val="es-CO"/>
              </w:rPr>
            </w:pPr>
            <w:r w:rsidRPr="00D84FFE">
              <w:rPr>
                <w:rFonts w:cs="Calibri"/>
                <w:sz w:val="20"/>
                <w:szCs w:val="20"/>
                <w:lang w:val="es-CO"/>
              </w:rPr>
              <w:t>Negativo, directo, persistente</w:t>
            </w:r>
          </w:p>
        </w:tc>
      </w:tr>
      <w:tr w:rsidRPr="006E74C3" w:rsidR="006E74C3" w:rsidTr="004C288A" w14:paraId="1E633407" w14:textId="77777777">
        <w:trPr>
          <w:trHeight w:val="915"/>
        </w:trPr>
        <w:tc>
          <w:tcPr>
            <w:tcW w:w="832" w:type="pct"/>
            <w:tcBorders>
              <w:top w:val="nil"/>
              <w:left w:val="single" w:color="auto" w:sz="4" w:space="0"/>
              <w:bottom w:val="single" w:color="auto" w:sz="4" w:space="0"/>
              <w:right w:val="single" w:color="auto" w:sz="4" w:space="0"/>
            </w:tcBorders>
            <w:vAlign w:val="center"/>
            <w:hideMark/>
          </w:tcPr>
          <w:p w:rsidRPr="00D84FFE" w:rsidR="006E74C3" w:rsidP="00825ECC" w:rsidRDefault="006E74C3" w14:paraId="7EDD8E71" w14:textId="77777777">
            <w:pPr>
              <w:spacing w:after="0" w:line="240" w:lineRule="auto"/>
              <w:rPr>
                <w:rFonts w:cs="Calibri"/>
                <w:sz w:val="20"/>
                <w:szCs w:val="20"/>
                <w:lang w:val="es-CO"/>
              </w:rPr>
            </w:pPr>
            <w:r w:rsidRPr="00D84FFE">
              <w:rPr>
                <w:rFonts w:cs="Calibri"/>
                <w:sz w:val="20"/>
                <w:szCs w:val="20"/>
                <w:lang w:val="es-CO"/>
              </w:rPr>
              <w:t>Generación de polvo en zonas húmedas</w:t>
            </w:r>
          </w:p>
        </w:tc>
        <w:tc>
          <w:tcPr>
            <w:tcW w:w="561" w:type="pct"/>
            <w:tcBorders>
              <w:top w:val="nil"/>
              <w:left w:val="nil"/>
              <w:bottom w:val="single" w:color="auto" w:sz="4" w:space="0"/>
              <w:right w:val="single" w:color="auto" w:sz="4" w:space="0"/>
            </w:tcBorders>
            <w:vAlign w:val="center"/>
            <w:hideMark/>
          </w:tcPr>
          <w:p w:rsidRPr="00D84FFE" w:rsidR="006E74C3" w:rsidP="00825ECC" w:rsidRDefault="006E74C3" w14:paraId="14AE89FA" w14:textId="77777777">
            <w:pPr>
              <w:spacing w:after="0" w:line="240" w:lineRule="auto"/>
              <w:rPr>
                <w:rFonts w:cs="Calibri"/>
                <w:sz w:val="20"/>
                <w:szCs w:val="20"/>
                <w:lang w:val="es-CO"/>
              </w:rPr>
            </w:pPr>
            <w:r w:rsidRPr="00D84FFE">
              <w:rPr>
                <w:rFonts w:cs="Calibri"/>
                <w:sz w:val="20"/>
                <w:szCs w:val="20"/>
                <w:lang w:val="es-CO"/>
              </w:rPr>
              <w:t>Aire / Biológico</w:t>
            </w:r>
          </w:p>
        </w:tc>
        <w:tc>
          <w:tcPr>
            <w:tcW w:w="653" w:type="pct"/>
            <w:tcBorders>
              <w:top w:val="nil"/>
              <w:left w:val="nil"/>
              <w:bottom w:val="single" w:color="auto" w:sz="4" w:space="0"/>
              <w:right w:val="single" w:color="auto" w:sz="4" w:space="0"/>
            </w:tcBorders>
            <w:vAlign w:val="center"/>
            <w:hideMark/>
          </w:tcPr>
          <w:p w:rsidRPr="00D84FFE" w:rsidR="006E74C3" w:rsidP="00825ECC" w:rsidRDefault="006E74C3" w14:paraId="06EFF84B" w14:textId="77777777">
            <w:pPr>
              <w:spacing w:after="0" w:line="240" w:lineRule="auto"/>
              <w:rPr>
                <w:rFonts w:cs="Calibri"/>
                <w:sz w:val="20"/>
                <w:szCs w:val="20"/>
                <w:lang w:val="es-CO"/>
              </w:rPr>
            </w:pPr>
            <w:r w:rsidRPr="00D84FFE">
              <w:rPr>
                <w:rFonts w:cs="Calibri"/>
                <w:sz w:val="20"/>
                <w:szCs w:val="20"/>
                <w:lang w:val="es-CO"/>
              </w:rPr>
              <w:t>Físico</w:t>
            </w:r>
          </w:p>
        </w:tc>
        <w:tc>
          <w:tcPr>
            <w:tcW w:w="1639" w:type="pct"/>
            <w:tcBorders>
              <w:top w:val="nil"/>
              <w:left w:val="nil"/>
              <w:bottom w:val="single" w:color="auto" w:sz="4" w:space="0"/>
              <w:right w:val="single" w:color="auto" w:sz="4" w:space="0"/>
            </w:tcBorders>
            <w:vAlign w:val="center"/>
            <w:hideMark/>
          </w:tcPr>
          <w:p w:rsidRPr="00D84FFE" w:rsidR="006E74C3" w:rsidP="00825ECC" w:rsidRDefault="006E74C3" w14:paraId="3F14F8C3" w14:textId="77777777">
            <w:pPr>
              <w:spacing w:after="0" w:line="240" w:lineRule="auto"/>
              <w:rPr>
                <w:rFonts w:cs="Calibri"/>
                <w:sz w:val="20"/>
                <w:szCs w:val="20"/>
                <w:lang w:val="es-CO"/>
              </w:rPr>
            </w:pPr>
            <w:r w:rsidRPr="00D84FFE">
              <w:rPr>
                <w:rFonts w:cs="Calibri"/>
                <w:sz w:val="20"/>
                <w:szCs w:val="20"/>
                <w:lang w:val="es-CO"/>
              </w:rPr>
              <w:t>Mezcla de polvo con esporas de hongos, aumentando riesgos respiratorios e infecciones en personas sensibles</w:t>
            </w:r>
          </w:p>
        </w:tc>
        <w:tc>
          <w:tcPr>
            <w:tcW w:w="705" w:type="pct"/>
            <w:tcBorders>
              <w:top w:val="nil"/>
              <w:left w:val="nil"/>
              <w:bottom w:val="single" w:color="auto" w:sz="4" w:space="0"/>
              <w:right w:val="single" w:color="auto" w:sz="4" w:space="0"/>
            </w:tcBorders>
            <w:vAlign w:val="center"/>
            <w:hideMark/>
          </w:tcPr>
          <w:p w:rsidRPr="00D84FFE" w:rsidR="006E74C3" w:rsidP="00825ECC" w:rsidRDefault="006E74C3" w14:paraId="22982E6D" w14:textId="77777777">
            <w:pPr>
              <w:spacing w:after="0" w:line="240" w:lineRule="auto"/>
              <w:rPr>
                <w:rFonts w:cs="Calibri"/>
                <w:sz w:val="20"/>
                <w:szCs w:val="20"/>
                <w:lang w:val="es-CO"/>
              </w:rPr>
            </w:pPr>
            <w:r w:rsidRPr="00D84FFE">
              <w:rPr>
                <w:rFonts w:cs="Calibri"/>
                <w:sz w:val="20"/>
                <w:szCs w:val="20"/>
                <w:lang w:val="es-CO"/>
              </w:rPr>
              <w:t>Niños, adultos mayores</w:t>
            </w:r>
          </w:p>
        </w:tc>
        <w:tc>
          <w:tcPr>
            <w:tcW w:w="610" w:type="pct"/>
            <w:tcBorders>
              <w:top w:val="nil"/>
              <w:left w:val="nil"/>
              <w:bottom w:val="single" w:color="auto" w:sz="4" w:space="0"/>
              <w:right w:val="single" w:color="auto" w:sz="4" w:space="0"/>
            </w:tcBorders>
            <w:vAlign w:val="center"/>
            <w:hideMark/>
          </w:tcPr>
          <w:p w:rsidRPr="00D84FFE" w:rsidR="006E74C3" w:rsidP="00825ECC" w:rsidRDefault="006E74C3" w14:paraId="4339E06B" w14:textId="77777777">
            <w:pPr>
              <w:spacing w:after="0" w:line="240" w:lineRule="auto"/>
              <w:rPr>
                <w:rFonts w:cs="Calibri"/>
                <w:sz w:val="20"/>
                <w:szCs w:val="20"/>
                <w:lang w:val="es-CO"/>
              </w:rPr>
            </w:pPr>
            <w:r w:rsidRPr="00D84FFE">
              <w:rPr>
                <w:rFonts w:cs="Calibri"/>
                <w:sz w:val="20"/>
                <w:szCs w:val="20"/>
                <w:lang w:val="es-CO"/>
              </w:rPr>
              <w:t>Negativo, indirecto</w:t>
            </w:r>
          </w:p>
        </w:tc>
      </w:tr>
      <w:tr w:rsidRPr="006E74C3" w:rsidR="006E74C3" w:rsidTr="004C288A" w14:paraId="70F0D54C" w14:textId="77777777">
        <w:trPr>
          <w:trHeight w:val="600"/>
        </w:trPr>
        <w:tc>
          <w:tcPr>
            <w:tcW w:w="832" w:type="pct"/>
            <w:tcBorders>
              <w:top w:val="nil"/>
              <w:left w:val="single" w:color="auto" w:sz="4" w:space="0"/>
              <w:bottom w:val="single" w:color="auto" w:sz="4" w:space="0"/>
              <w:right w:val="single" w:color="auto" w:sz="4" w:space="0"/>
            </w:tcBorders>
            <w:vAlign w:val="center"/>
            <w:hideMark/>
          </w:tcPr>
          <w:p w:rsidRPr="00D84FFE" w:rsidR="006E74C3" w:rsidP="00825ECC" w:rsidRDefault="006E74C3" w14:paraId="5ECFAB23" w14:textId="77777777">
            <w:pPr>
              <w:spacing w:after="0" w:line="240" w:lineRule="auto"/>
              <w:rPr>
                <w:rFonts w:cs="Calibri"/>
                <w:sz w:val="20"/>
                <w:szCs w:val="20"/>
                <w:lang w:val="es-CO"/>
              </w:rPr>
            </w:pPr>
            <w:r w:rsidRPr="00D84FFE">
              <w:rPr>
                <w:rFonts w:cs="Calibri"/>
                <w:sz w:val="20"/>
                <w:szCs w:val="20"/>
                <w:lang w:val="es-CO"/>
              </w:rPr>
              <w:t>Excavaciones y pozas abandonadas</w:t>
            </w:r>
          </w:p>
        </w:tc>
        <w:tc>
          <w:tcPr>
            <w:tcW w:w="561" w:type="pct"/>
            <w:tcBorders>
              <w:top w:val="nil"/>
              <w:left w:val="nil"/>
              <w:bottom w:val="single" w:color="auto" w:sz="4" w:space="0"/>
              <w:right w:val="single" w:color="auto" w:sz="4" w:space="0"/>
            </w:tcBorders>
            <w:vAlign w:val="center"/>
            <w:hideMark/>
          </w:tcPr>
          <w:p w:rsidRPr="00D84FFE" w:rsidR="006E74C3" w:rsidP="00825ECC" w:rsidRDefault="006E74C3" w14:paraId="5FE53933" w14:textId="77777777">
            <w:pPr>
              <w:spacing w:after="0" w:line="240" w:lineRule="auto"/>
              <w:rPr>
                <w:rFonts w:cs="Calibri"/>
                <w:sz w:val="20"/>
                <w:szCs w:val="20"/>
                <w:lang w:val="es-CO"/>
              </w:rPr>
            </w:pPr>
            <w:r w:rsidRPr="00D84FFE">
              <w:rPr>
                <w:rFonts w:cs="Calibri"/>
                <w:sz w:val="20"/>
                <w:szCs w:val="20"/>
                <w:lang w:val="es-CO"/>
              </w:rPr>
              <w:t>Agua estancada</w:t>
            </w:r>
          </w:p>
        </w:tc>
        <w:tc>
          <w:tcPr>
            <w:tcW w:w="653" w:type="pct"/>
            <w:tcBorders>
              <w:top w:val="nil"/>
              <w:left w:val="nil"/>
              <w:bottom w:val="single" w:color="auto" w:sz="4" w:space="0"/>
              <w:right w:val="single" w:color="auto" w:sz="4" w:space="0"/>
            </w:tcBorders>
            <w:vAlign w:val="center"/>
            <w:hideMark/>
          </w:tcPr>
          <w:p w:rsidRPr="00D84FFE" w:rsidR="006E74C3" w:rsidP="00825ECC" w:rsidRDefault="006E74C3" w14:paraId="77D05169" w14:textId="77777777">
            <w:pPr>
              <w:spacing w:after="0" w:line="240" w:lineRule="auto"/>
              <w:rPr>
                <w:rFonts w:cs="Calibri"/>
                <w:sz w:val="20"/>
                <w:szCs w:val="20"/>
                <w:lang w:val="es-CO"/>
              </w:rPr>
            </w:pPr>
            <w:r w:rsidRPr="00D84FFE">
              <w:rPr>
                <w:rFonts w:cs="Calibri"/>
                <w:sz w:val="20"/>
                <w:szCs w:val="20"/>
                <w:lang w:val="es-CO"/>
              </w:rPr>
              <w:t>Físico</w:t>
            </w:r>
          </w:p>
        </w:tc>
        <w:tc>
          <w:tcPr>
            <w:tcW w:w="1639" w:type="pct"/>
            <w:tcBorders>
              <w:top w:val="nil"/>
              <w:left w:val="nil"/>
              <w:bottom w:val="single" w:color="auto" w:sz="4" w:space="0"/>
              <w:right w:val="single" w:color="auto" w:sz="4" w:space="0"/>
            </w:tcBorders>
            <w:vAlign w:val="center"/>
            <w:hideMark/>
          </w:tcPr>
          <w:p w:rsidRPr="00D84FFE" w:rsidR="006E74C3" w:rsidP="00825ECC" w:rsidRDefault="006E74C3" w14:paraId="0DD01AF7" w14:textId="77777777">
            <w:pPr>
              <w:spacing w:after="0" w:line="240" w:lineRule="auto"/>
              <w:rPr>
                <w:rFonts w:cs="Calibri"/>
                <w:sz w:val="20"/>
                <w:szCs w:val="20"/>
                <w:lang w:val="es-CO"/>
              </w:rPr>
            </w:pPr>
            <w:r w:rsidRPr="00D84FFE">
              <w:rPr>
                <w:rFonts w:cs="Calibri"/>
                <w:sz w:val="20"/>
                <w:szCs w:val="20"/>
                <w:lang w:val="es-CO"/>
              </w:rPr>
              <w:t>Proliferación de mosquitos vectores de dengue, malaria, zika y chikunguña</w:t>
            </w:r>
          </w:p>
        </w:tc>
        <w:tc>
          <w:tcPr>
            <w:tcW w:w="705" w:type="pct"/>
            <w:tcBorders>
              <w:top w:val="nil"/>
              <w:left w:val="nil"/>
              <w:bottom w:val="single" w:color="auto" w:sz="4" w:space="0"/>
              <w:right w:val="single" w:color="auto" w:sz="4" w:space="0"/>
            </w:tcBorders>
            <w:vAlign w:val="center"/>
            <w:hideMark/>
          </w:tcPr>
          <w:p w:rsidRPr="00D84FFE" w:rsidR="006E74C3" w:rsidP="00825ECC" w:rsidRDefault="006E74C3" w14:paraId="03A725EA" w14:textId="77777777">
            <w:pPr>
              <w:spacing w:after="0" w:line="240" w:lineRule="auto"/>
              <w:rPr>
                <w:rFonts w:cs="Calibri"/>
                <w:sz w:val="20"/>
                <w:szCs w:val="20"/>
                <w:lang w:val="es-CO"/>
              </w:rPr>
            </w:pPr>
            <w:r w:rsidRPr="00D84FFE">
              <w:rPr>
                <w:rFonts w:cs="Calibri"/>
                <w:sz w:val="20"/>
                <w:szCs w:val="20"/>
                <w:lang w:val="es-CO"/>
              </w:rPr>
              <w:t>Población en general</w:t>
            </w:r>
          </w:p>
        </w:tc>
        <w:tc>
          <w:tcPr>
            <w:tcW w:w="610" w:type="pct"/>
            <w:tcBorders>
              <w:top w:val="nil"/>
              <w:left w:val="nil"/>
              <w:bottom w:val="single" w:color="auto" w:sz="4" w:space="0"/>
              <w:right w:val="single" w:color="auto" w:sz="4" w:space="0"/>
            </w:tcBorders>
            <w:vAlign w:val="center"/>
            <w:hideMark/>
          </w:tcPr>
          <w:p w:rsidRPr="00D84FFE" w:rsidR="006E74C3" w:rsidP="00825ECC" w:rsidRDefault="006E74C3" w14:paraId="3E662D9E" w14:textId="77777777">
            <w:pPr>
              <w:spacing w:after="0" w:line="240" w:lineRule="auto"/>
              <w:rPr>
                <w:rFonts w:cs="Calibri"/>
                <w:sz w:val="20"/>
                <w:szCs w:val="20"/>
                <w:lang w:val="es-CO"/>
              </w:rPr>
            </w:pPr>
            <w:r w:rsidRPr="00D84FFE">
              <w:rPr>
                <w:rFonts w:cs="Calibri"/>
                <w:sz w:val="20"/>
                <w:szCs w:val="20"/>
                <w:lang w:val="es-CO"/>
              </w:rPr>
              <w:t>Negativo, indirecto</w:t>
            </w:r>
          </w:p>
        </w:tc>
      </w:tr>
      <w:tr w:rsidRPr="006E74C3" w:rsidR="006E74C3" w:rsidTr="004C288A" w14:paraId="0E0D671F" w14:textId="77777777">
        <w:trPr>
          <w:trHeight w:val="885"/>
        </w:trPr>
        <w:tc>
          <w:tcPr>
            <w:tcW w:w="832" w:type="pct"/>
            <w:tcBorders>
              <w:top w:val="nil"/>
              <w:left w:val="single" w:color="auto" w:sz="4" w:space="0"/>
              <w:bottom w:val="single" w:color="auto" w:sz="4" w:space="0"/>
              <w:right w:val="single" w:color="auto" w:sz="4" w:space="0"/>
            </w:tcBorders>
            <w:vAlign w:val="center"/>
            <w:hideMark/>
          </w:tcPr>
          <w:p w:rsidRPr="00D84FFE" w:rsidR="006E74C3" w:rsidP="00825ECC" w:rsidRDefault="006E74C3" w14:paraId="6233A8B6" w14:textId="77777777">
            <w:pPr>
              <w:spacing w:after="0" w:line="240" w:lineRule="auto"/>
              <w:rPr>
                <w:rFonts w:cs="Calibri"/>
                <w:sz w:val="20"/>
                <w:szCs w:val="20"/>
                <w:lang w:val="es-CO"/>
              </w:rPr>
            </w:pPr>
            <w:r w:rsidRPr="00D84FFE">
              <w:rPr>
                <w:rFonts w:cs="Calibri"/>
                <w:sz w:val="20"/>
                <w:szCs w:val="20"/>
                <w:lang w:val="es-CO"/>
              </w:rPr>
              <w:t>Degradación de riberas y pérdida de vegetación</w:t>
            </w:r>
          </w:p>
        </w:tc>
        <w:tc>
          <w:tcPr>
            <w:tcW w:w="561" w:type="pct"/>
            <w:tcBorders>
              <w:top w:val="nil"/>
              <w:left w:val="nil"/>
              <w:bottom w:val="single" w:color="auto" w:sz="4" w:space="0"/>
              <w:right w:val="single" w:color="auto" w:sz="4" w:space="0"/>
            </w:tcBorders>
            <w:vAlign w:val="center"/>
            <w:hideMark/>
          </w:tcPr>
          <w:p w:rsidRPr="00D84FFE" w:rsidR="006E74C3" w:rsidP="00825ECC" w:rsidRDefault="006E74C3" w14:paraId="72DC41BB" w14:textId="77777777">
            <w:pPr>
              <w:spacing w:after="0" w:line="240" w:lineRule="auto"/>
              <w:rPr>
                <w:rFonts w:cs="Calibri"/>
                <w:sz w:val="20"/>
                <w:szCs w:val="20"/>
                <w:lang w:val="es-CO"/>
              </w:rPr>
            </w:pPr>
            <w:r w:rsidRPr="00D84FFE">
              <w:rPr>
                <w:rFonts w:cs="Calibri"/>
                <w:sz w:val="20"/>
                <w:szCs w:val="20"/>
                <w:lang w:val="es-CO"/>
              </w:rPr>
              <w:t>Suelo / Ecosistema</w:t>
            </w:r>
          </w:p>
        </w:tc>
        <w:tc>
          <w:tcPr>
            <w:tcW w:w="653" w:type="pct"/>
            <w:tcBorders>
              <w:top w:val="nil"/>
              <w:left w:val="nil"/>
              <w:bottom w:val="single" w:color="auto" w:sz="4" w:space="0"/>
              <w:right w:val="single" w:color="auto" w:sz="4" w:space="0"/>
            </w:tcBorders>
            <w:vAlign w:val="center"/>
            <w:hideMark/>
          </w:tcPr>
          <w:p w:rsidRPr="00D84FFE" w:rsidR="006E74C3" w:rsidP="00825ECC" w:rsidRDefault="006E74C3" w14:paraId="06D28731" w14:textId="77777777">
            <w:pPr>
              <w:spacing w:after="0" w:line="240" w:lineRule="auto"/>
              <w:rPr>
                <w:rFonts w:cs="Calibri"/>
                <w:sz w:val="20"/>
                <w:szCs w:val="20"/>
                <w:lang w:val="es-CO"/>
              </w:rPr>
            </w:pPr>
            <w:r w:rsidRPr="00D84FFE">
              <w:rPr>
                <w:rFonts w:cs="Calibri"/>
                <w:sz w:val="20"/>
                <w:szCs w:val="20"/>
                <w:lang w:val="es-CO"/>
              </w:rPr>
              <w:t>Físico / Social</w:t>
            </w:r>
          </w:p>
        </w:tc>
        <w:tc>
          <w:tcPr>
            <w:tcW w:w="1639" w:type="pct"/>
            <w:tcBorders>
              <w:top w:val="nil"/>
              <w:left w:val="nil"/>
              <w:bottom w:val="single" w:color="auto" w:sz="4" w:space="0"/>
              <w:right w:val="single" w:color="auto" w:sz="4" w:space="0"/>
            </w:tcBorders>
            <w:vAlign w:val="center"/>
            <w:hideMark/>
          </w:tcPr>
          <w:p w:rsidRPr="00D84FFE" w:rsidR="006E74C3" w:rsidP="00825ECC" w:rsidRDefault="006E74C3" w14:paraId="559917C6" w14:textId="77777777">
            <w:pPr>
              <w:spacing w:after="0" w:line="240" w:lineRule="auto"/>
              <w:rPr>
                <w:rFonts w:cs="Calibri"/>
                <w:sz w:val="20"/>
                <w:szCs w:val="20"/>
                <w:lang w:val="es-CO"/>
              </w:rPr>
            </w:pPr>
            <w:r w:rsidRPr="00D84FFE">
              <w:rPr>
                <w:rFonts w:cs="Calibri"/>
                <w:sz w:val="20"/>
                <w:szCs w:val="20"/>
                <w:lang w:val="es-CO"/>
              </w:rPr>
              <w:t>Mayor riesgo de inundaciones y colapso de riberas que pueden afectar viviendas, generar lesiones, desplazamientos y estrés</w:t>
            </w:r>
          </w:p>
        </w:tc>
        <w:tc>
          <w:tcPr>
            <w:tcW w:w="705" w:type="pct"/>
            <w:tcBorders>
              <w:top w:val="nil"/>
              <w:left w:val="nil"/>
              <w:bottom w:val="single" w:color="auto" w:sz="4" w:space="0"/>
              <w:right w:val="single" w:color="auto" w:sz="4" w:space="0"/>
            </w:tcBorders>
            <w:vAlign w:val="center"/>
            <w:hideMark/>
          </w:tcPr>
          <w:p w:rsidRPr="00D84FFE" w:rsidR="006E74C3" w:rsidP="00825ECC" w:rsidRDefault="006E74C3" w14:paraId="6D31F0E0" w14:textId="77777777">
            <w:pPr>
              <w:spacing w:after="0" w:line="240" w:lineRule="auto"/>
              <w:rPr>
                <w:rFonts w:cs="Calibri"/>
                <w:sz w:val="20"/>
                <w:szCs w:val="20"/>
                <w:lang w:val="es-CO"/>
              </w:rPr>
            </w:pPr>
            <w:r w:rsidRPr="00D84FFE">
              <w:rPr>
                <w:rFonts w:cs="Calibri"/>
                <w:sz w:val="20"/>
                <w:szCs w:val="20"/>
                <w:lang w:val="es-CO"/>
              </w:rPr>
              <w:t>Familias ribereñas</w:t>
            </w:r>
          </w:p>
        </w:tc>
        <w:tc>
          <w:tcPr>
            <w:tcW w:w="610" w:type="pct"/>
            <w:tcBorders>
              <w:top w:val="nil"/>
              <w:left w:val="nil"/>
              <w:bottom w:val="single" w:color="auto" w:sz="4" w:space="0"/>
              <w:right w:val="single" w:color="auto" w:sz="4" w:space="0"/>
            </w:tcBorders>
            <w:vAlign w:val="center"/>
            <w:hideMark/>
          </w:tcPr>
          <w:p w:rsidRPr="00D84FFE" w:rsidR="006E74C3" w:rsidP="00825ECC" w:rsidRDefault="006E74C3" w14:paraId="2FF2BB6F" w14:textId="77777777">
            <w:pPr>
              <w:spacing w:after="0" w:line="240" w:lineRule="auto"/>
              <w:rPr>
                <w:rFonts w:cs="Calibri"/>
                <w:sz w:val="20"/>
                <w:szCs w:val="20"/>
                <w:lang w:val="es-CO"/>
              </w:rPr>
            </w:pPr>
            <w:r w:rsidRPr="00D84FFE">
              <w:rPr>
                <w:rFonts w:cs="Calibri"/>
                <w:sz w:val="20"/>
                <w:szCs w:val="20"/>
                <w:lang w:val="es-CO"/>
              </w:rPr>
              <w:t>Negativo, directo</w:t>
            </w:r>
          </w:p>
        </w:tc>
      </w:tr>
      <w:tr w:rsidRPr="006E74C3" w:rsidR="006E74C3" w:rsidTr="004C288A" w14:paraId="1ECD7415" w14:textId="77777777">
        <w:trPr>
          <w:trHeight w:val="1140"/>
        </w:trPr>
        <w:tc>
          <w:tcPr>
            <w:tcW w:w="832" w:type="pct"/>
            <w:tcBorders>
              <w:top w:val="nil"/>
              <w:left w:val="single" w:color="auto" w:sz="4" w:space="0"/>
              <w:bottom w:val="single" w:color="auto" w:sz="4" w:space="0"/>
              <w:right w:val="single" w:color="auto" w:sz="4" w:space="0"/>
            </w:tcBorders>
            <w:vAlign w:val="center"/>
            <w:hideMark/>
          </w:tcPr>
          <w:p w:rsidRPr="00D84FFE" w:rsidR="006E74C3" w:rsidP="00825ECC" w:rsidRDefault="006E74C3" w14:paraId="3339C2EA" w14:textId="77777777">
            <w:pPr>
              <w:spacing w:after="0" w:line="240" w:lineRule="auto"/>
              <w:rPr>
                <w:rFonts w:cs="Calibri"/>
                <w:sz w:val="20"/>
                <w:szCs w:val="20"/>
                <w:lang w:val="es-CO"/>
              </w:rPr>
            </w:pPr>
            <w:r w:rsidRPr="00D84FFE">
              <w:rPr>
                <w:rFonts w:cs="Calibri"/>
                <w:sz w:val="20"/>
                <w:szCs w:val="20"/>
                <w:lang w:val="es-CO"/>
              </w:rPr>
              <w:t>Disminución de peces y fauna acuática</w:t>
            </w:r>
          </w:p>
        </w:tc>
        <w:tc>
          <w:tcPr>
            <w:tcW w:w="561" w:type="pct"/>
            <w:tcBorders>
              <w:top w:val="nil"/>
              <w:left w:val="nil"/>
              <w:bottom w:val="single" w:color="auto" w:sz="4" w:space="0"/>
              <w:right w:val="single" w:color="auto" w:sz="4" w:space="0"/>
            </w:tcBorders>
            <w:vAlign w:val="center"/>
            <w:hideMark/>
          </w:tcPr>
          <w:p w:rsidRPr="00D84FFE" w:rsidR="006E74C3" w:rsidP="00825ECC" w:rsidRDefault="006E74C3" w14:paraId="49F75CC1" w14:textId="77777777">
            <w:pPr>
              <w:spacing w:after="0" w:line="240" w:lineRule="auto"/>
              <w:rPr>
                <w:rFonts w:cs="Calibri"/>
                <w:sz w:val="20"/>
                <w:szCs w:val="20"/>
                <w:lang w:val="es-CO"/>
              </w:rPr>
            </w:pPr>
            <w:r w:rsidRPr="00D84FFE">
              <w:rPr>
                <w:rFonts w:cs="Calibri"/>
                <w:sz w:val="20"/>
                <w:szCs w:val="20"/>
                <w:lang w:val="es-CO"/>
              </w:rPr>
              <w:t>Ecosistema</w:t>
            </w:r>
          </w:p>
        </w:tc>
        <w:tc>
          <w:tcPr>
            <w:tcW w:w="653" w:type="pct"/>
            <w:tcBorders>
              <w:top w:val="nil"/>
              <w:left w:val="nil"/>
              <w:bottom w:val="single" w:color="auto" w:sz="4" w:space="0"/>
              <w:right w:val="single" w:color="auto" w:sz="4" w:space="0"/>
            </w:tcBorders>
            <w:vAlign w:val="center"/>
            <w:hideMark/>
          </w:tcPr>
          <w:p w:rsidRPr="00D84FFE" w:rsidR="006E74C3" w:rsidP="00825ECC" w:rsidRDefault="006E74C3" w14:paraId="31AE3879" w14:textId="77777777">
            <w:pPr>
              <w:spacing w:after="0" w:line="240" w:lineRule="auto"/>
              <w:rPr>
                <w:rFonts w:cs="Calibri"/>
                <w:sz w:val="20"/>
                <w:szCs w:val="20"/>
                <w:lang w:val="es-CO"/>
              </w:rPr>
            </w:pPr>
            <w:r w:rsidRPr="00D84FFE">
              <w:rPr>
                <w:rFonts w:cs="Calibri"/>
                <w:sz w:val="20"/>
                <w:szCs w:val="20"/>
                <w:lang w:val="es-CO"/>
              </w:rPr>
              <w:t>Nutricional</w:t>
            </w:r>
          </w:p>
        </w:tc>
        <w:tc>
          <w:tcPr>
            <w:tcW w:w="1639" w:type="pct"/>
            <w:tcBorders>
              <w:top w:val="nil"/>
              <w:left w:val="nil"/>
              <w:bottom w:val="single" w:color="auto" w:sz="4" w:space="0"/>
              <w:right w:val="single" w:color="auto" w:sz="4" w:space="0"/>
            </w:tcBorders>
            <w:vAlign w:val="center"/>
            <w:hideMark/>
          </w:tcPr>
          <w:p w:rsidRPr="00D84FFE" w:rsidR="006E74C3" w:rsidP="00825ECC" w:rsidRDefault="006E74C3" w14:paraId="03B94411" w14:textId="77777777">
            <w:pPr>
              <w:spacing w:after="0" w:line="240" w:lineRule="auto"/>
              <w:rPr>
                <w:rFonts w:cs="Calibri"/>
                <w:sz w:val="20"/>
                <w:szCs w:val="20"/>
                <w:lang w:val="es-CO"/>
              </w:rPr>
            </w:pPr>
            <w:r w:rsidRPr="00D84FFE">
              <w:rPr>
                <w:rFonts w:cs="Calibri"/>
                <w:sz w:val="20"/>
                <w:szCs w:val="20"/>
                <w:lang w:val="es-CO"/>
              </w:rPr>
              <w:t>Reducción de fuentes tradicionales de proteína, contribuyendo a malnutrición, anemia y pérdida de seguridad alimentaria</w:t>
            </w:r>
          </w:p>
        </w:tc>
        <w:tc>
          <w:tcPr>
            <w:tcW w:w="705" w:type="pct"/>
            <w:tcBorders>
              <w:top w:val="nil"/>
              <w:left w:val="nil"/>
              <w:bottom w:val="single" w:color="auto" w:sz="4" w:space="0"/>
              <w:right w:val="single" w:color="auto" w:sz="4" w:space="0"/>
            </w:tcBorders>
            <w:vAlign w:val="center"/>
            <w:hideMark/>
          </w:tcPr>
          <w:p w:rsidRPr="00D84FFE" w:rsidR="006E74C3" w:rsidP="00825ECC" w:rsidRDefault="006E74C3" w14:paraId="7574E5F0" w14:textId="77777777">
            <w:pPr>
              <w:spacing w:after="0" w:line="240" w:lineRule="auto"/>
              <w:rPr>
                <w:rFonts w:cs="Calibri"/>
                <w:sz w:val="20"/>
                <w:szCs w:val="20"/>
                <w:lang w:val="es-CO"/>
              </w:rPr>
            </w:pPr>
            <w:r w:rsidRPr="00D84FFE">
              <w:rPr>
                <w:rFonts w:cs="Calibri"/>
                <w:sz w:val="20"/>
                <w:szCs w:val="20"/>
                <w:lang w:val="es-CO"/>
              </w:rPr>
              <w:t>Niños, mujeres gestantes, comunidades indígenas</w:t>
            </w:r>
          </w:p>
        </w:tc>
        <w:tc>
          <w:tcPr>
            <w:tcW w:w="610" w:type="pct"/>
            <w:tcBorders>
              <w:top w:val="nil"/>
              <w:left w:val="nil"/>
              <w:bottom w:val="single" w:color="auto" w:sz="4" w:space="0"/>
              <w:right w:val="single" w:color="auto" w:sz="4" w:space="0"/>
            </w:tcBorders>
            <w:vAlign w:val="center"/>
            <w:hideMark/>
          </w:tcPr>
          <w:p w:rsidRPr="00D84FFE" w:rsidR="006E74C3" w:rsidP="00825ECC" w:rsidRDefault="006E74C3" w14:paraId="20A61702" w14:textId="77777777">
            <w:pPr>
              <w:spacing w:after="0" w:line="240" w:lineRule="auto"/>
              <w:rPr>
                <w:rFonts w:cs="Calibri"/>
                <w:sz w:val="20"/>
                <w:szCs w:val="20"/>
                <w:lang w:val="es-CO"/>
              </w:rPr>
            </w:pPr>
            <w:r w:rsidRPr="00D84FFE">
              <w:rPr>
                <w:rFonts w:cs="Calibri"/>
                <w:sz w:val="20"/>
                <w:szCs w:val="20"/>
                <w:lang w:val="es-CO"/>
              </w:rPr>
              <w:t>Negativo, indirecto</w:t>
            </w:r>
          </w:p>
        </w:tc>
      </w:tr>
      <w:tr w:rsidRPr="006E74C3" w:rsidR="006E74C3" w:rsidTr="004C288A" w14:paraId="0641F725" w14:textId="77777777">
        <w:trPr>
          <w:trHeight w:val="900"/>
        </w:trPr>
        <w:tc>
          <w:tcPr>
            <w:tcW w:w="832" w:type="pct"/>
            <w:tcBorders>
              <w:top w:val="nil"/>
              <w:left w:val="single" w:color="auto" w:sz="4" w:space="0"/>
              <w:bottom w:val="single" w:color="auto" w:sz="4" w:space="0"/>
              <w:right w:val="single" w:color="auto" w:sz="4" w:space="0"/>
            </w:tcBorders>
            <w:vAlign w:val="center"/>
            <w:hideMark/>
          </w:tcPr>
          <w:p w:rsidRPr="00D84FFE" w:rsidR="006E74C3" w:rsidP="00825ECC" w:rsidRDefault="006E74C3" w14:paraId="4AEB00A0" w14:textId="77777777">
            <w:pPr>
              <w:spacing w:after="0" w:line="240" w:lineRule="auto"/>
              <w:rPr>
                <w:rFonts w:cs="Calibri"/>
                <w:sz w:val="20"/>
                <w:szCs w:val="20"/>
                <w:lang w:val="es-CO"/>
              </w:rPr>
            </w:pPr>
            <w:r w:rsidRPr="00D84FFE">
              <w:rPr>
                <w:rFonts w:cs="Calibri"/>
                <w:sz w:val="20"/>
                <w:szCs w:val="20"/>
                <w:lang w:val="es-CO"/>
              </w:rPr>
              <w:t>Contaminación del agua y pérdida de plantas medicinales</w:t>
            </w:r>
          </w:p>
        </w:tc>
        <w:tc>
          <w:tcPr>
            <w:tcW w:w="561" w:type="pct"/>
            <w:tcBorders>
              <w:top w:val="nil"/>
              <w:left w:val="nil"/>
              <w:bottom w:val="single" w:color="auto" w:sz="4" w:space="0"/>
              <w:right w:val="single" w:color="auto" w:sz="4" w:space="0"/>
            </w:tcBorders>
            <w:vAlign w:val="center"/>
            <w:hideMark/>
          </w:tcPr>
          <w:p w:rsidRPr="00D84FFE" w:rsidR="006E74C3" w:rsidP="00825ECC" w:rsidRDefault="006E74C3" w14:paraId="3483E067" w14:textId="77777777">
            <w:pPr>
              <w:spacing w:after="0" w:line="240" w:lineRule="auto"/>
              <w:rPr>
                <w:rFonts w:cs="Calibri"/>
                <w:sz w:val="20"/>
                <w:szCs w:val="20"/>
                <w:lang w:val="es-CO"/>
              </w:rPr>
            </w:pPr>
            <w:r w:rsidRPr="00D84FFE">
              <w:rPr>
                <w:rFonts w:cs="Calibri"/>
                <w:sz w:val="20"/>
                <w:szCs w:val="20"/>
                <w:lang w:val="es-CO"/>
              </w:rPr>
              <w:t>Ecosistema / Cultura</w:t>
            </w:r>
          </w:p>
        </w:tc>
        <w:tc>
          <w:tcPr>
            <w:tcW w:w="653" w:type="pct"/>
            <w:tcBorders>
              <w:top w:val="nil"/>
              <w:left w:val="nil"/>
              <w:bottom w:val="single" w:color="auto" w:sz="4" w:space="0"/>
              <w:right w:val="single" w:color="auto" w:sz="4" w:space="0"/>
            </w:tcBorders>
            <w:vAlign w:val="center"/>
            <w:hideMark/>
          </w:tcPr>
          <w:p w:rsidRPr="00D84FFE" w:rsidR="006E74C3" w:rsidP="00825ECC" w:rsidRDefault="006E74C3" w14:paraId="4244A6EF" w14:textId="77777777">
            <w:pPr>
              <w:spacing w:after="0" w:line="240" w:lineRule="auto"/>
              <w:rPr>
                <w:rFonts w:cs="Calibri"/>
                <w:sz w:val="20"/>
                <w:szCs w:val="20"/>
                <w:lang w:val="es-CO"/>
              </w:rPr>
            </w:pPr>
            <w:r w:rsidRPr="00D84FFE">
              <w:rPr>
                <w:rFonts w:cs="Calibri"/>
                <w:sz w:val="20"/>
                <w:szCs w:val="20"/>
                <w:lang w:val="es-CO"/>
              </w:rPr>
              <w:t>Físico / Cultural</w:t>
            </w:r>
          </w:p>
        </w:tc>
        <w:tc>
          <w:tcPr>
            <w:tcW w:w="1639" w:type="pct"/>
            <w:tcBorders>
              <w:top w:val="nil"/>
              <w:left w:val="nil"/>
              <w:bottom w:val="single" w:color="auto" w:sz="4" w:space="0"/>
              <w:right w:val="single" w:color="auto" w:sz="4" w:space="0"/>
            </w:tcBorders>
            <w:vAlign w:val="center"/>
            <w:hideMark/>
          </w:tcPr>
          <w:p w:rsidRPr="00D84FFE" w:rsidR="006E74C3" w:rsidP="00825ECC" w:rsidRDefault="006E74C3" w14:paraId="5EC4FEA8" w14:textId="77777777">
            <w:pPr>
              <w:spacing w:after="0" w:line="240" w:lineRule="auto"/>
              <w:rPr>
                <w:rFonts w:cs="Calibri"/>
                <w:sz w:val="20"/>
                <w:szCs w:val="20"/>
                <w:lang w:val="es-CO"/>
              </w:rPr>
            </w:pPr>
            <w:r w:rsidRPr="00D84FFE">
              <w:rPr>
                <w:rFonts w:cs="Calibri"/>
                <w:sz w:val="20"/>
                <w:szCs w:val="20"/>
                <w:lang w:val="es-CO"/>
              </w:rPr>
              <w:t>Menor disponibilidad de medicina tradicional y aumento de dependencia de sistemas de salud externos</w:t>
            </w:r>
          </w:p>
        </w:tc>
        <w:tc>
          <w:tcPr>
            <w:tcW w:w="705" w:type="pct"/>
            <w:tcBorders>
              <w:top w:val="nil"/>
              <w:left w:val="nil"/>
              <w:bottom w:val="single" w:color="auto" w:sz="4" w:space="0"/>
              <w:right w:val="single" w:color="auto" w:sz="4" w:space="0"/>
            </w:tcBorders>
            <w:vAlign w:val="center"/>
            <w:hideMark/>
          </w:tcPr>
          <w:p w:rsidRPr="00D84FFE" w:rsidR="006E74C3" w:rsidP="00825ECC" w:rsidRDefault="006E74C3" w14:paraId="466A5915" w14:textId="77777777">
            <w:pPr>
              <w:spacing w:after="0" w:line="240" w:lineRule="auto"/>
              <w:rPr>
                <w:rFonts w:cs="Calibri"/>
                <w:sz w:val="20"/>
                <w:szCs w:val="20"/>
                <w:lang w:val="es-CO"/>
              </w:rPr>
            </w:pPr>
            <w:r w:rsidRPr="00D84FFE">
              <w:rPr>
                <w:rFonts w:cs="Calibri"/>
                <w:sz w:val="20"/>
                <w:szCs w:val="20"/>
                <w:lang w:val="es-CO"/>
              </w:rPr>
              <w:t>Comunidades indígenas</w:t>
            </w:r>
          </w:p>
        </w:tc>
        <w:tc>
          <w:tcPr>
            <w:tcW w:w="610" w:type="pct"/>
            <w:tcBorders>
              <w:top w:val="nil"/>
              <w:left w:val="nil"/>
              <w:bottom w:val="single" w:color="auto" w:sz="4" w:space="0"/>
              <w:right w:val="single" w:color="auto" w:sz="4" w:space="0"/>
            </w:tcBorders>
            <w:vAlign w:val="center"/>
            <w:hideMark/>
          </w:tcPr>
          <w:p w:rsidRPr="00D84FFE" w:rsidR="006E74C3" w:rsidP="00825ECC" w:rsidRDefault="006E74C3" w14:paraId="78E8639A" w14:textId="77777777">
            <w:pPr>
              <w:spacing w:after="0" w:line="240" w:lineRule="auto"/>
              <w:rPr>
                <w:rFonts w:cs="Calibri"/>
                <w:sz w:val="20"/>
                <w:szCs w:val="20"/>
                <w:lang w:val="es-CO"/>
              </w:rPr>
            </w:pPr>
            <w:r w:rsidRPr="00D84FFE">
              <w:rPr>
                <w:rFonts w:cs="Calibri"/>
                <w:sz w:val="20"/>
                <w:szCs w:val="20"/>
                <w:lang w:val="es-CO"/>
              </w:rPr>
              <w:t>Negativo, indirecto</w:t>
            </w:r>
          </w:p>
        </w:tc>
      </w:tr>
      <w:tr w:rsidRPr="006E74C3" w:rsidR="006E74C3" w:rsidTr="004C288A" w14:paraId="1E7556ED" w14:textId="77777777">
        <w:trPr>
          <w:trHeight w:val="855"/>
        </w:trPr>
        <w:tc>
          <w:tcPr>
            <w:tcW w:w="832" w:type="pct"/>
            <w:tcBorders>
              <w:top w:val="nil"/>
              <w:left w:val="single" w:color="auto" w:sz="4" w:space="0"/>
              <w:bottom w:val="single" w:color="auto" w:sz="4" w:space="0"/>
              <w:right w:val="single" w:color="auto" w:sz="4" w:space="0"/>
            </w:tcBorders>
            <w:vAlign w:val="center"/>
            <w:hideMark/>
          </w:tcPr>
          <w:p w:rsidRPr="00D84FFE" w:rsidR="006E74C3" w:rsidP="00825ECC" w:rsidRDefault="006E74C3" w14:paraId="2BB30502" w14:textId="77777777">
            <w:pPr>
              <w:spacing w:after="0" w:line="240" w:lineRule="auto"/>
              <w:rPr>
                <w:rFonts w:cs="Calibri"/>
                <w:sz w:val="20"/>
                <w:szCs w:val="20"/>
                <w:lang w:val="es-CO"/>
              </w:rPr>
            </w:pPr>
            <w:r w:rsidRPr="00D84FFE">
              <w:rPr>
                <w:rFonts w:cs="Calibri"/>
                <w:sz w:val="20"/>
                <w:szCs w:val="20"/>
                <w:lang w:val="es-CO"/>
              </w:rPr>
              <w:t>Transformación del paisaje fluvial</w:t>
            </w:r>
          </w:p>
        </w:tc>
        <w:tc>
          <w:tcPr>
            <w:tcW w:w="561" w:type="pct"/>
            <w:tcBorders>
              <w:top w:val="nil"/>
              <w:left w:val="nil"/>
              <w:bottom w:val="single" w:color="auto" w:sz="4" w:space="0"/>
              <w:right w:val="single" w:color="auto" w:sz="4" w:space="0"/>
            </w:tcBorders>
            <w:vAlign w:val="center"/>
            <w:hideMark/>
          </w:tcPr>
          <w:p w:rsidRPr="00D84FFE" w:rsidR="006E74C3" w:rsidP="00825ECC" w:rsidRDefault="006E74C3" w14:paraId="0DD3EAE8" w14:textId="77777777">
            <w:pPr>
              <w:spacing w:after="0" w:line="240" w:lineRule="auto"/>
              <w:rPr>
                <w:rFonts w:cs="Calibri"/>
                <w:sz w:val="20"/>
                <w:szCs w:val="20"/>
                <w:lang w:val="es-CO"/>
              </w:rPr>
            </w:pPr>
            <w:r w:rsidRPr="00D84FFE">
              <w:rPr>
                <w:rFonts w:cs="Calibri"/>
                <w:sz w:val="20"/>
                <w:szCs w:val="20"/>
                <w:lang w:val="es-CO"/>
              </w:rPr>
              <w:t>Territorio / Cultura</w:t>
            </w:r>
          </w:p>
        </w:tc>
        <w:tc>
          <w:tcPr>
            <w:tcW w:w="653" w:type="pct"/>
            <w:tcBorders>
              <w:top w:val="nil"/>
              <w:left w:val="nil"/>
              <w:bottom w:val="single" w:color="auto" w:sz="4" w:space="0"/>
              <w:right w:val="single" w:color="auto" w:sz="4" w:space="0"/>
            </w:tcBorders>
            <w:vAlign w:val="center"/>
            <w:hideMark/>
          </w:tcPr>
          <w:p w:rsidRPr="00D84FFE" w:rsidR="006E74C3" w:rsidP="00825ECC" w:rsidRDefault="006E74C3" w14:paraId="15E77D35" w14:textId="77777777">
            <w:pPr>
              <w:spacing w:after="0" w:line="240" w:lineRule="auto"/>
              <w:rPr>
                <w:rFonts w:cs="Calibri"/>
                <w:sz w:val="20"/>
                <w:szCs w:val="20"/>
                <w:lang w:val="es-CO"/>
              </w:rPr>
            </w:pPr>
            <w:r w:rsidRPr="00D84FFE">
              <w:rPr>
                <w:rFonts w:cs="Calibri"/>
                <w:sz w:val="20"/>
                <w:szCs w:val="20"/>
                <w:lang w:val="es-CO"/>
              </w:rPr>
              <w:t>Mental y emocional</w:t>
            </w:r>
          </w:p>
        </w:tc>
        <w:tc>
          <w:tcPr>
            <w:tcW w:w="1639" w:type="pct"/>
            <w:tcBorders>
              <w:top w:val="nil"/>
              <w:left w:val="nil"/>
              <w:bottom w:val="single" w:color="auto" w:sz="4" w:space="0"/>
              <w:right w:val="single" w:color="auto" w:sz="4" w:space="0"/>
            </w:tcBorders>
            <w:vAlign w:val="center"/>
            <w:hideMark/>
          </w:tcPr>
          <w:p w:rsidRPr="00D84FFE" w:rsidR="006E74C3" w:rsidP="00825ECC" w:rsidRDefault="006E74C3" w14:paraId="6CBB1332" w14:textId="77777777">
            <w:pPr>
              <w:spacing w:after="0" w:line="240" w:lineRule="auto"/>
              <w:rPr>
                <w:rFonts w:cs="Calibri"/>
                <w:sz w:val="20"/>
                <w:szCs w:val="20"/>
                <w:lang w:val="es-CO"/>
              </w:rPr>
            </w:pPr>
            <w:r w:rsidRPr="00D84FFE">
              <w:rPr>
                <w:rFonts w:cs="Calibri"/>
                <w:sz w:val="20"/>
                <w:szCs w:val="20"/>
                <w:lang w:val="es-CO"/>
              </w:rPr>
              <w:t>Estrés, tristeza, sensación de pérdida del entorno, ruptura del vínculo espiritual con el río (solastalgia)</w:t>
            </w:r>
          </w:p>
        </w:tc>
        <w:tc>
          <w:tcPr>
            <w:tcW w:w="705" w:type="pct"/>
            <w:tcBorders>
              <w:top w:val="nil"/>
              <w:left w:val="nil"/>
              <w:bottom w:val="single" w:color="auto" w:sz="4" w:space="0"/>
              <w:right w:val="single" w:color="auto" w:sz="4" w:space="0"/>
            </w:tcBorders>
            <w:vAlign w:val="center"/>
            <w:hideMark/>
          </w:tcPr>
          <w:p w:rsidRPr="00D84FFE" w:rsidR="006E74C3" w:rsidP="00825ECC" w:rsidRDefault="006E74C3" w14:paraId="5FDC672A" w14:textId="77777777">
            <w:pPr>
              <w:spacing w:after="0" w:line="240" w:lineRule="auto"/>
              <w:rPr>
                <w:rFonts w:cs="Calibri"/>
                <w:sz w:val="20"/>
                <w:szCs w:val="20"/>
                <w:lang w:val="es-CO"/>
              </w:rPr>
            </w:pPr>
            <w:r w:rsidRPr="00D84FFE">
              <w:rPr>
                <w:rFonts w:cs="Calibri"/>
                <w:sz w:val="20"/>
                <w:szCs w:val="20"/>
                <w:lang w:val="es-CO"/>
              </w:rPr>
              <w:t>Comunidades indígenas</w:t>
            </w:r>
          </w:p>
        </w:tc>
        <w:tc>
          <w:tcPr>
            <w:tcW w:w="610" w:type="pct"/>
            <w:tcBorders>
              <w:top w:val="nil"/>
              <w:left w:val="nil"/>
              <w:bottom w:val="single" w:color="auto" w:sz="4" w:space="0"/>
              <w:right w:val="single" w:color="auto" w:sz="4" w:space="0"/>
            </w:tcBorders>
            <w:vAlign w:val="center"/>
            <w:hideMark/>
          </w:tcPr>
          <w:p w:rsidRPr="00D84FFE" w:rsidR="006E74C3" w:rsidP="00825ECC" w:rsidRDefault="006E74C3" w14:paraId="256E95CB" w14:textId="77777777">
            <w:pPr>
              <w:spacing w:after="0" w:line="240" w:lineRule="auto"/>
              <w:rPr>
                <w:rFonts w:cs="Calibri"/>
                <w:sz w:val="20"/>
                <w:szCs w:val="20"/>
                <w:lang w:val="es-CO"/>
              </w:rPr>
            </w:pPr>
            <w:r w:rsidRPr="00D84FFE">
              <w:rPr>
                <w:rFonts w:cs="Calibri"/>
                <w:sz w:val="20"/>
                <w:szCs w:val="20"/>
                <w:lang w:val="es-CO"/>
              </w:rPr>
              <w:t>Negativo, acumulativo</w:t>
            </w:r>
          </w:p>
        </w:tc>
      </w:tr>
      <w:tr w:rsidRPr="006E74C3" w:rsidR="006E74C3" w:rsidTr="004C288A" w14:paraId="1D7094BB" w14:textId="77777777">
        <w:trPr>
          <w:trHeight w:val="885"/>
        </w:trPr>
        <w:tc>
          <w:tcPr>
            <w:tcW w:w="832" w:type="pct"/>
            <w:tcBorders>
              <w:top w:val="nil"/>
              <w:left w:val="single" w:color="auto" w:sz="4" w:space="0"/>
              <w:bottom w:val="single" w:color="auto" w:sz="4" w:space="0"/>
              <w:right w:val="single" w:color="auto" w:sz="4" w:space="0"/>
            </w:tcBorders>
            <w:vAlign w:val="center"/>
            <w:hideMark/>
          </w:tcPr>
          <w:p w:rsidRPr="00D84FFE" w:rsidR="006E74C3" w:rsidP="00825ECC" w:rsidRDefault="006E74C3" w14:paraId="16949532" w14:textId="77777777">
            <w:pPr>
              <w:spacing w:after="0" w:line="240" w:lineRule="auto"/>
              <w:rPr>
                <w:rFonts w:cs="Calibri"/>
                <w:sz w:val="20"/>
                <w:szCs w:val="20"/>
                <w:lang w:val="es-CO"/>
              </w:rPr>
            </w:pPr>
            <w:r w:rsidRPr="00D84FFE">
              <w:rPr>
                <w:rFonts w:cs="Calibri"/>
                <w:sz w:val="20"/>
                <w:szCs w:val="20"/>
                <w:lang w:val="es-CO"/>
              </w:rPr>
              <w:t>Conflictos por uso del territorio y recursos</w:t>
            </w:r>
          </w:p>
        </w:tc>
        <w:tc>
          <w:tcPr>
            <w:tcW w:w="561" w:type="pct"/>
            <w:tcBorders>
              <w:top w:val="nil"/>
              <w:left w:val="nil"/>
              <w:bottom w:val="single" w:color="auto" w:sz="4" w:space="0"/>
              <w:right w:val="single" w:color="auto" w:sz="4" w:space="0"/>
            </w:tcBorders>
            <w:vAlign w:val="center"/>
            <w:hideMark/>
          </w:tcPr>
          <w:p w:rsidRPr="00D84FFE" w:rsidR="006E74C3" w:rsidP="00825ECC" w:rsidRDefault="006E74C3" w14:paraId="5D2C637F" w14:textId="77777777">
            <w:pPr>
              <w:spacing w:after="0" w:line="240" w:lineRule="auto"/>
              <w:rPr>
                <w:rFonts w:cs="Calibri"/>
                <w:sz w:val="20"/>
                <w:szCs w:val="20"/>
                <w:lang w:val="es-CO"/>
              </w:rPr>
            </w:pPr>
            <w:r w:rsidRPr="00D84FFE">
              <w:rPr>
                <w:rFonts w:cs="Calibri"/>
                <w:sz w:val="20"/>
                <w:szCs w:val="20"/>
                <w:lang w:val="es-CO"/>
              </w:rPr>
              <w:t>Social</w:t>
            </w:r>
          </w:p>
        </w:tc>
        <w:tc>
          <w:tcPr>
            <w:tcW w:w="653" w:type="pct"/>
            <w:tcBorders>
              <w:top w:val="nil"/>
              <w:left w:val="nil"/>
              <w:bottom w:val="single" w:color="auto" w:sz="4" w:space="0"/>
              <w:right w:val="single" w:color="auto" w:sz="4" w:space="0"/>
            </w:tcBorders>
            <w:vAlign w:val="center"/>
            <w:hideMark/>
          </w:tcPr>
          <w:p w:rsidRPr="00D84FFE" w:rsidR="006E74C3" w:rsidP="00825ECC" w:rsidRDefault="006E74C3" w14:paraId="0AF1F228" w14:textId="77777777">
            <w:pPr>
              <w:spacing w:after="0" w:line="240" w:lineRule="auto"/>
              <w:rPr>
                <w:rFonts w:cs="Calibri"/>
                <w:sz w:val="20"/>
                <w:szCs w:val="20"/>
                <w:lang w:val="es-CO"/>
              </w:rPr>
            </w:pPr>
            <w:r w:rsidRPr="00D84FFE">
              <w:rPr>
                <w:rFonts w:cs="Calibri"/>
                <w:sz w:val="20"/>
                <w:szCs w:val="20"/>
                <w:lang w:val="es-CO"/>
              </w:rPr>
              <w:t>Mental / Social</w:t>
            </w:r>
          </w:p>
        </w:tc>
        <w:tc>
          <w:tcPr>
            <w:tcW w:w="1639" w:type="pct"/>
            <w:tcBorders>
              <w:top w:val="nil"/>
              <w:left w:val="nil"/>
              <w:bottom w:val="single" w:color="auto" w:sz="4" w:space="0"/>
              <w:right w:val="single" w:color="auto" w:sz="4" w:space="0"/>
            </w:tcBorders>
            <w:vAlign w:val="center"/>
            <w:hideMark/>
          </w:tcPr>
          <w:p w:rsidRPr="00D84FFE" w:rsidR="006E74C3" w:rsidP="00825ECC" w:rsidRDefault="006E74C3" w14:paraId="7EE39509" w14:textId="77777777">
            <w:pPr>
              <w:spacing w:after="0" w:line="240" w:lineRule="auto"/>
              <w:rPr>
                <w:rFonts w:cs="Calibri"/>
                <w:sz w:val="20"/>
                <w:szCs w:val="20"/>
                <w:lang w:val="es-CO"/>
              </w:rPr>
            </w:pPr>
            <w:r w:rsidRPr="00D84FFE">
              <w:rPr>
                <w:rFonts w:cs="Calibri"/>
                <w:sz w:val="20"/>
                <w:szCs w:val="20"/>
                <w:lang w:val="es-CO"/>
              </w:rPr>
              <w:t>Tensiones comunitarias, conflictos sociales, inseguridad y afectación del bienestar colectivo</w:t>
            </w:r>
          </w:p>
        </w:tc>
        <w:tc>
          <w:tcPr>
            <w:tcW w:w="705" w:type="pct"/>
            <w:tcBorders>
              <w:top w:val="nil"/>
              <w:left w:val="nil"/>
              <w:bottom w:val="single" w:color="auto" w:sz="4" w:space="0"/>
              <w:right w:val="single" w:color="auto" w:sz="4" w:space="0"/>
            </w:tcBorders>
            <w:vAlign w:val="center"/>
            <w:hideMark/>
          </w:tcPr>
          <w:p w:rsidRPr="00D84FFE" w:rsidR="006E74C3" w:rsidP="00825ECC" w:rsidRDefault="006E74C3" w14:paraId="7BD9766C" w14:textId="77777777">
            <w:pPr>
              <w:spacing w:after="0" w:line="240" w:lineRule="auto"/>
              <w:rPr>
                <w:rFonts w:cs="Calibri"/>
                <w:sz w:val="20"/>
                <w:szCs w:val="20"/>
                <w:lang w:val="es-CO"/>
              </w:rPr>
            </w:pPr>
            <w:r w:rsidRPr="00D84FFE">
              <w:rPr>
                <w:rFonts w:cs="Calibri"/>
                <w:sz w:val="20"/>
                <w:szCs w:val="20"/>
                <w:lang w:val="es-CO"/>
              </w:rPr>
              <w:t>Comunidades locales</w:t>
            </w:r>
          </w:p>
        </w:tc>
        <w:tc>
          <w:tcPr>
            <w:tcW w:w="610" w:type="pct"/>
            <w:tcBorders>
              <w:top w:val="nil"/>
              <w:left w:val="nil"/>
              <w:bottom w:val="single" w:color="auto" w:sz="4" w:space="0"/>
              <w:right w:val="single" w:color="auto" w:sz="4" w:space="0"/>
            </w:tcBorders>
            <w:vAlign w:val="center"/>
            <w:hideMark/>
          </w:tcPr>
          <w:p w:rsidRPr="00D84FFE" w:rsidR="006E74C3" w:rsidP="00825ECC" w:rsidRDefault="006E74C3" w14:paraId="60A10CB0" w14:textId="77777777">
            <w:pPr>
              <w:spacing w:after="0" w:line="240" w:lineRule="auto"/>
              <w:rPr>
                <w:rFonts w:cs="Calibri"/>
                <w:sz w:val="20"/>
                <w:szCs w:val="20"/>
                <w:lang w:val="es-CO"/>
              </w:rPr>
            </w:pPr>
            <w:r w:rsidRPr="00D84FFE">
              <w:rPr>
                <w:rFonts w:cs="Calibri"/>
                <w:sz w:val="20"/>
                <w:szCs w:val="20"/>
                <w:lang w:val="es-CO"/>
              </w:rPr>
              <w:t>Negativo, indirecto</w:t>
            </w:r>
          </w:p>
        </w:tc>
      </w:tr>
      <w:tr w:rsidRPr="006E74C3" w:rsidR="006E74C3" w:rsidTr="004C288A" w14:paraId="1E8D990F" w14:textId="77777777">
        <w:trPr>
          <w:trHeight w:val="930"/>
        </w:trPr>
        <w:tc>
          <w:tcPr>
            <w:tcW w:w="832" w:type="pct"/>
            <w:tcBorders>
              <w:top w:val="nil"/>
              <w:left w:val="single" w:color="auto" w:sz="4" w:space="0"/>
              <w:bottom w:val="single" w:color="auto" w:sz="4" w:space="0"/>
              <w:right w:val="single" w:color="auto" w:sz="4" w:space="0"/>
            </w:tcBorders>
            <w:vAlign w:val="center"/>
            <w:hideMark/>
          </w:tcPr>
          <w:p w:rsidRPr="00D84FFE" w:rsidR="006E74C3" w:rsidP="00825ECC" w:rsidRDefault="006E74C3" w14:paraId="030686C8" w14:textId="77777777">
            <w:pPr>
              <w:spacing w:after="0" w:line="240" w:lineRule="auto"/>
              <w:rPr>
                <w:rFonts w:cs="Calibri"/>
                <w:sz w:val="20"/>
                <w:szCs w:val="20"/>
                <w:lang w:val="es-CO"/>
              </w:rPr>
            </w:pPr>
            <w:r w:rsidRPr="00D84FFE">
              <w:rPr>
                <w:rFonts w:cs="Calibri"/>
                <w:sz w:val="20"/>
                <w:szCs w:val="20"/>
                <w:lang w:val="es-CO"/>
              </w:rPr>
              <w:t>Ruido constante de maquinaria</w:t>
            </w:r>
          </w:p>
        </w:tc>
        <w:tc>
          <w:tcPr>
            <w:tcW w:w="561" w:type="pct"/>
            <w:tcBorders>
              <w:top w:val="nil"/>
              <w:left w:val="nil"/>
              <w:bottom w:val="single" w:color="auto" w:sz="4" w:space="0"/>
              <w:right w:val="single" w:color="auto" w:sz="4" w:space="0"/>
            </w:tcBorders>
            <w:vAlign w:val="center"/>
            <w:hideMark/>
          </w:tcPr>
          <w:p w:rsidRPr="00D84FFE" w:rsidR="006E74C3" w:rsidP="00825ECC" w:rsidRDefault="006E74C3" w14:paraId="2C6D46A7" w14:textId="77777777">
            <w:pPr>
              <w:spacing w:after="0" w:line="240" w:lineRule="auto"/>
              <w:rPr>
                <w:rFonts w:cs="Calibri"/>
                <w:sz w:val="20"/>
                <w:szCs w:val="20"/>
                <w:lang w:val="es-CO"/>
              </w:rPr>
            </w:pPr>
            <w:r w:rsidRPr="00D84FFE">
              <w:rPr>
                <w:rFonts w:cs="Calibri"/>
                <w:sz w:val="20"/>
                <w:szCs w:val="20"/>
                <w:lang w:val="es-CO"/>
              </w:rPr>
              <w:t>Ambiente sonoro</w:t>
            </w:r>
          </w:p>
        </w:tc>
        <w:tc>
          <w:tcPr>
            <w:tcW w:w="653" w:type="pct"/>
            <w:tcBorders>
              <w:top w:val="nil"/>
              <w:left w:val="nil"/>
              <w:bottom w:val="single" w:color="auto" w:sz="4" w:space="0"/>
              <w:right w:val="single" w:color="auto" w:sz="4" w:space="0"/>
            </w:tcBorders>
            <w:vAlign w:val="center"/>
            <w:hideMark/>
          </w:tcPr>
          <w:p w:rsidRPr="00D84FFE" w:rsidR="006E74C3" w:rsidP="00825ECC" w:rsidRDefault="006E74C3" w14:paraId="773C3DA6" w14:textId="77777777">
            <w:pPr>
              <w:spacing w:after="0" w:line="240" w:lineRule="auto"/>
              <w:rPr>
                <w:rFonts w:cs="Calibri"/>
                <w:sz w:val="20"/>
                <w:szCs w:val="20"/>
                <w:lang w:val="es-CO"/>
              </w:rPr>
            </w:pPr>
            <w:r w:rsidRPr="00D84FFE">
              <w:rPr>
                <w:rFonts w:cs="Calibri"/>
                <w:sz w:val="20"/>
                <w:szCs w:val="20"/>
                <w:lang w:val="es-CO"/>
              </w:rPr>
              <w:t>Físico / Mental</w:t>
            </w:r>
          </w:p>
        </w:tc>
        <w:tc>
          <w:tcPr>
            <w:tcW w:w="1639" w:type="pct"/>
            <w:tcBorders>
              <w:top w:val="nil"/>
              <w:left w:val="nil"/>
              <w:bottom w:val="single" w:color="auto" w:sz="4" w:space="0"/>
              <w:right w:val="single" w:color="auto" w:sz="4" w:space="0"/>
            </w:tcBorders>
            <w:vAlign w:val="center"/>
            <w:hideMark/>
          </w:tcPr>
          <w:p w:rsidRPr="00D84FFE" w:rsidR="006E74C3" w:rsidP="00825ECC" w:rsidRDefault="006E74C3" w14:paraId="5D15F700" w14:textId="77777777">
            <w:pPr>
              <w:spacing w:after="0" w:line="240" w:lineRule="auto"/>
              <w:rPr>
                <w:rFonts w:cs="Calibri"/>
                <w:sz w:val="20"/>
                <w:szCs w:val="20"/>
                <w:lang w:val="es-CO"/>
              </w:rPr>
            </w:pPr>
            <w:r w:rsidRPr="00D84FFE">
              <w:rPr>
                <w:rFonts w:cs="Calibri"/>
                <w:sz w:val="20"/>
                <w:szCs w:val="20"/>
                <w:lang w:val="es-CO"/>
              </w:rPr>
              <w:t>Alteraciones del sueño, estrés, irritabilidad, fatiga</w:t>
            </w:r>
          </w:p>
        </w:tc>
        <w:tc>
          <w:tcPr>
            <w:tcW w:w="705" w:type="pct"/>
            <w:tcBorders>
              <w:top w:val="nil"/>
              <w:left w:val="nil"/>
              <w:bottom w:val="single" w:color="auto" w:sz="4" w:space="0"/>
              <w:right w:val="single" w:color="auto" w:sz="4" w:space="0"/>
            </w:tcBorders>
            <w:vAlign w:val="center"/>
            <w:hideMark/>
          </w:tcPr>
          <w:p w:rsidRPr="00D84FFE" w:rsidR="006E74C3" w:rsidP="00825ECC" w:rsidRDefault="006E74C3" w14:paraId="2EB191D8" w14:textId="77777777">
            <w:pPr>
              <w:spacing w:after="0" w:line="240" w:lineRule="auto"/>
              <w:rPr>
                <w:rFonts w:cs="Calibri"/>
                <w:sz w:val="20"/>
                <w:szCs w:val="20"/>
                <w:lang w:val="es-CO"/>
              </w:rPr>
            </w:pPr>
            <w:r w:rsidRPr="00D84FFE">
              <w:rPr>
                <w:rFonts w:cs="Calibri"/>
                <w:sz w:val="20"/>
                <w:szCs w:val="20"/>
                <w:lang w:val="es-CO"/>
              </w:rPr>
              <w:t>Población cercana a frentes de extracción</w:t>
            </w:r>
          </w:p>
        </w:tc>
        <w:tc>
          <w:tcPr>
            <w:tcW w:w="610" w:type="pct"/>
            <w:tcBorders>
              <w:top w:val="nil"/>
              <w:left w:val="nil"/>
              <w:bottom w:val="single" w:color="auto" w:sz="4" w:space="0"/>
              <w:right w:val="single" w:color="auto" w:sz="4" w:space="0"/>
            </w:tcBorders>
            <w:vAlign w:val="center"/>
            <w:hideMark/>
          </w:tcPr>
          <w:p w:rsidRPr="00D84FFE" w:rsidR="006E74C3" w:rsidP="00825ECC" w:rsidRDefault="006E74C3" w14:paraId="6D34D2F3" w14:textId="77777777">
            <w:pPr>
              <w:spacing w:after="0" w:line="240" w:lineRule="auto"/>
              <w:rPr>
                <w:rFonts w:cs="Calibri"/>
                <w:sz w:val="20"/>
                <w:szCs w:val="20"/>
                <w:lang w:val="es-CO"/>
              </w:rPr>
            </w:pPr>
            <w:r w:rsidRPr="00D84FFE">
              <w:rPr>
                <w:rFonts w:cs="Calibri"/>
                <w:sz w:val="20"/>
                <w:szCs w:val="20"/>
                <w:lang w:val="es-CO"/>
              </w:rPr>
              <w:t>Negativo, directo</w:t>
            </w:r>
          </w:p>
        </w:tc>
      </w:tr>
    </w:tbl>
    <w:p w:rsidRPr="005651D3" w:rsidR="006E74C3" w:rsidP="005651D3" w:rsidRDefault="005651D3" w14:paraId="393593C4" w14:textId="13458678">
      <w:pPr>
        <w:spacing w:after="0" w:line="240" w:lineRule="auto"/>
        <w:jc w:val="center"/>
        <w:rPr>
          <w:rFonts w:cs="Calibri"/>
          <w:i/>
          <w:iCs/>
          <w:sz w:val="20"/>
          <w:szCs w:val="20"/>
          <w:lang w:val="es-CO"/>
        </w:rPr>
      </w:pPr>
      <w:r w:rsidRPr="005651D3">
        <w:rPr>
          <w:rFonts w:cs="Calibri"/>
          <w:i/>
          <w:iCs/>
          <w:sz w:val="20"/>
          <w:szCs w:val="20"/>
          <w:lang w:val="es-CO"/>
        </w:rPr>
        <w:t>Fuente: Basada en la integración de fuentes académicas y de organismos internacionales, como la Organización Mundial de la Salud (OMS, 1948), el Millennium Ecosystem Assessment (2005), la FAO (2011), la World Health Organization (2017) y Albrecht et al. (2007).</w:t>
      </w:r>
    </w:p>
    <w:p w:rsidR="007F32B4" w:rsidP="007F32B4" w:rsidRDefault="007F32B4" w14:paraId="4A5B7F55" w14:textId="731A29BF">
      <w:pPr>
        <w:spacing w:after="0" w:line="360" w:lineRule="auto"/>
        <w:jc w:val="both"/>
        <w:rPr>
          <w:rFonts w:cs="Calibri"/>
          <w:sz w:val="24"/>
          <w:szCs w:val="24"/>
        </w:rPr>
      </w:pPr>
    </w:p>
    <w:p w:rsidR="00527B8C" w:rsidP="007F32B4" w:rsidRDefault="00212A57" w14:paraId="3D4DF439" w14:textId="681009F9">
      <w:pPr>
        <w:spacing w:after="0" w:line="360" w:lineRule="auto"/>
        <w:jc w:val="both"/>
        <w:rPr>
          <w:rFonts w:cs="Calibri"/>
          <w:b/>
          <w:bCs/>
          <w:color w:val="4F81BD" w:themeColor="accent1"/>
          <w:sz w:val="24"/>
          <w:szCs w:val="24"/>
          <w:lang w:val="es-CO"/>
        </w:rPr>
      </w:pPr>
      <w:r>
        <w:rPr>
          <w:rFonts w:cs="Calibri"/>
          <w:b/>
          <w:bCs/>
          <w:color w:val="4F81BD" w:themeColor="accent1"/>
          <w:sz w:val="24"/>
          <w:szCs w:val="24"/>
          <w:lang w:val="es-CO"/>
        </w:rPr>
        <w:t>5.3.4. Datos relevantes:</w:t>
      </w:r>
    </w:p>
    <w:p w:rsidR="00527B8C" w:rsidRDefault="00527B8C" w14:paraId="729F1249" w14:textId="77777777">
      <w:pPr>
        <w:spacing w:after="0" w:line="360" w:lineRule="auto"/>
        <w:ind w:firstLine="304" w:firstLineChars="126"/>
        <w:jc w:val="both"/>
        <w:rPr>
          <w:rFonts w:cs="Calibri"/>
          <w:b/>
          <w:bCs/>
          <w:color w:val="4F81BD" w:themeColor="accent1"/>
          <w:sz w:val="24"/>
          <w:szCs w:val="24"/>
          <w:lang w:val="es-CO"/>
        </w:rPr>
      </w:pPr>
    </w:p>
    <w:p w:rsidR="00527B8C" w:rsidRDefault="00212A57" w14:paraId="5B8D63B8" w14:textId="77777777">
      <w:pPr>
        <w:pStyle w:val="Prrafodelista"/>
        <w:numPr>
          <w:ilvl w:val="0"/>
          <w:numId w:val="43"/>
        </w:numPr>
        <w:spacing w:after="0" w:line="360" w:lineRule="auto"/>
        <w:ind w:firstLine="302" w:firstLineChars="126"/>
        <w:jc w:val="both"/>
        <w:rPr>
          <w:rFonts w:cs="Calibri"/>
          <w:sz w:val="24"/>
          <w:szCs w:val="24"/>
          <w:lang w:val="es-CO"/>
        </w:rPr>
      </w:pPr>
      <w:r w:rsidR="670101B5">
        <w:rPr>
          <w:rFonts w:cs="Calibri"/>
          <w:sz w:val="24"/>
          <w:szCs w:val="24"/>
          <w:lang w:val="es-CO"/>
        </w:rPr>
        <w:t>En Colombia, el Observatorio de Conflictos Socioambientales reporta que la Amazonía (48,9 millones de hectáreas) concentra conflictos por minería, deforestación y cultivos ilícitos, siendo los departamentos de Caquetá, Guaviare y Putumayo los más críticos.</w:t>
      </w:r>
      <w:r>
        <w:rPr>
          <w:rStyle w:val="Refdenotaalpie"/>
          <w:rFonts w:cs="Calibri"/>
          <w:sz w:val="24"/>
          <w:szCs w:val="24"/>
          <w:lang w:val="es-CO"/>
        </w:rPr>
        <w:footnoteReference w:id="68"/>
      </w:r>
    </w:p>
    <w:p w:rsidR="00527B8C" w:rsidRDefault="00212A57" w14:paraId="5A376495" w14:textId="77777777">
      <w:pPr>
        <w:pStyle w:val="Prrafodelista"/>
        <w:numPr>
          <w:ilvl w:val="0"/>
          <w:numId w:val="43"/>
        </w:numPr>
        <w:spacing w:after="0" w:line="360" w:lineRule="auto"/>
        <w:ind w:firstLine="302" w:firstLineChars="126"/>
        <w:jc w:val="both"/>
        <w:rPr>
          <w:rFonts w:cs="Calibri"/>
          <w:sz w:val="24"/>
          <w:szCs w:val="24"/>
          <w:lang w:val="es-CO"/>
        </w:rPr>
      </w:pPr>
      <w:r>
        <w:rPr>
          <w:rFonts w:cs="Calibri"/>
          <w:sz w:val="24"/>
          <w:szCs w:val="24"/>
          <w:lang w:val="es-CO"/>
        </w:rPr>
        <w:t>El uso de mercurio en minería artesanal representa el 80% de las emisiones en la Amazonía sudamericana, afectando peces, aves y poblaciones humanas, según el Convenio de Minamata.</w:t>
      </w:r>
    </w:p>
    <w:p w:rsidR="00527B8C" w:rsidRDefault="00212A57" w14:paraId="1A1A80B2" w14:textId="77777777">
      <w:pPr>
        <w:pStyle w:val="Prrafodelista"/>
        <w:numPr>
          <w:ilvl w:val="0"/>
          <w:numId w:val="43"/>
        </w:numPr>
        <w:spacing w:after="0" w:line="360" w:lineRule="auto"/>
        <w:ind w:firstLine="302" w:firstLineChars="126"/>
        <w:jc w:val="both"/>
        <w:rPr>
          <w:rFonts w:cs="Calibri"/>
          <w:sz w:val="24"/>
          <w:szCs w:val="24"/>
          <w:lang w:val="es-CO"/>
        </w:rPr>
      </w:pPr>
      <w:r w:rsidR="670101B5">
        <w:rPr>
          <w:rFonts w:cs="Calibri"/>
          <w:sz w:val="24"/>
          <w:szCs w:val="24"/>
          <w:lang w:val="es-CO"/>
        </w:rPr>
        <w:t>En un estudio realizado para evaluar los cambios en la cobertura de bosque en la Amazonía colombiana por actividades mineras legales, se identificó que la actividad minera asociada a la extracción de materiales de construcción fue la que generó un mayor cambio de cobertura de bosque entre los años 2002 y 2014. En este estudio, cuanto a la valoración departamental, se identificó que el departamento del Caquetá cuenta con el mayor número de títulos mineros de toda la amazonia, y la mayoría de estos se dedican</w:t>
      </w:r>
      <w:r w:rsidR="670101B5">
        <w:rPr>
          <w:rFonts w:cs="Calibri"/>
          <w:sz w:val="24"/>
          <w:szCs w:val="24"/>
          <w:lang w:val="es-CO"/>
        </w:rPr>
        <w:t xml:space="preserve"> a la extracción de materiales de construcción, y con relación al departamento del Putumayo, la extracción de materiales de construcción se caracterizó por una actividad dinámica que se relaciona con el cambio de coberturas pero, a su vez, un aumento de la capa boscosa que se asocia, posiblemente, a la recuperación de áreas a través de la reforestación donde se ha terminado el proceso de extracción del material</w:t>
      </w:r>
      <w:r>
        <w:rPr>
          <w:rStyle w:val="Refdenotaalpie"/>
          <w:rFonts w:cs="Calibri"/>
          <w:sz w:val="24"/>
          <w:szCs w:val="24"/>
          <w:lang w:val="es-CO"/>
        </w:rPr>
        <w:footnoteReference w:id="69"/>
      </w:r>
      <w:r w:rsidR="670101B5">
        <w:rPr>
          <w:rFonts w:cs="Calibri"/>
          <w:sz w:val="24"/>
          <w:szCs w:val="24"/>
          <w:lang w:val="es-CO"/>
        </w:rPr>
        <w:t>.</w:t>
      </w:r>
    </w:p>
    <w:p w:rsidR="00527B8C" w:rsidRDefault="00527B8C" w14:paraId="05C7FAF8" w14:textId="77777777">
      <w:pPr>
        <w:spacing w:after="0" w:line="360" w:lineRule="auto"/>
        <w:ind w:firstLine="302" w:firstLineChars="126"/>
        <w:jc w:val="both"/>
        <w:rPr>
          <w:rFonts w:cs="Calibri"/>
          <w:sz w:val="24"/>
          <w:szCs w:val="24"/>
          <w:lang w:val="es-CO"/>
        </w:rPr>
      </w:pPr>
    </w:p>
    <w:p w:rsidR="00527B8C" w:rsidRDefault="00212A57" w14:paraId="63F3A873" w14:textId="77777777">
      <w:pPr>
        <w:pStyle w:val="Ttulo1"/>
        <w:spacing w:before="0" w:line="360" w:lineRule="auto"/>
        <w:jc w:val="both"/>
        <w:rPr>
          <w:rFonts w:ascii="Calibri" w:hAnsi="Calibri" w:eastAsia="Calibri" w:cs="Calibri"/>
          <w:sz w:val="24"/>
          <w:szCs w:val="24"/>
          <w:lang w:val="es-CO"/>
        </w:rPr>
      </w:pPr>
      <w:bookmarkStart w:name="_Toc1822623101" w:id="933748517"/>
      <w:r w:rsidRPr="53DEF7DD" w:rsidR="670101B5">
        <w:rPr>
          <w:rFonts w:ascii="Calibri" w:hAnsi="Calibri" w:eastAsia="Calibri" w:cs="Calibri"/>
          <w:sz w:val="24"/>
          <w:szCs w:val="24"/>
          <w:lang w:val="es-CO"/>
        </w:rPr>
        <w:t>6. Cadena Productiva y Economía Regional</w:t>
      </w:r>
      <w:bookmarkEnd w:id="933748517"/>
    </w:p>
    <w:p w:rsidR="00527B8C" w:rsidRDefault="00527B8C" w14:paraId="15923200" w14:textId="77777777">
      <w:pPr>
        <w:spacing w:after="0" w:line="360" w:lineRule="auto"/>
        <w:jc w:val="both"/>
        <w:rPr>
          <w:rStyle w:val="Ttulo2Car1"/>
          <w:rFonts w:ascii="Calibri" w:hAnsi="Calibri" w:eastAsia="Calibri" w:cs="Calibri"/>
          <w:sz w:val="24"/>
          <w:szCs w:val="24"/>
          <w:lang w:val="es-CO"/>
        </w:rPr>
      </w:pPr>
    </w:p>
    <w:p w:rsidR="00527B8C" w:rsidRDefault="00212A57" w14:paraId="2494E4E5" w14:textId="77777777">
      <w:pPr>
        <w:spacing w:after="0" w:line="360" w:lineRule="auto"/>
        <w:jc w:val="both"/>
        <w:rPr>
          <w:rStyle w:val="Ttulo2Car1"/>
          <w:rFonts w:ascii="Calibri" w:hAnsi="Calibri" w:eastAsia="Calibri" w:cs="Calibri"/>
          <w:sz w:val="24"/>
          <w:szCs w:val="24"/>
          <w:lang w:val="es-CO"/>
        </w:rPr>
      </w:pPr>
      <w:bookmarkStart w:name="_Toc1401891089" w:id="1710889987"/>
      <w:r w:rsidRPr="53DEF7DD" w:rsidR="670101B5">
        <w:rPr>
          <w:rStyle w:val="Ttulo2Car1"/>
          <w:rFonts w:ascii="Calibri" w:hAnsi="Calibri" w:eastAsia="Calibri" w:cs="Calibri"/>
          <w:sz w:val="24"/>
          <w:szCs w:val="24"/>
          <w:lang w:val="es-CO"/>
        </w:rPr>
        <w:t>6.1. Contexto y Justificación</w:t>
      </w:r>
      <w:bookmarkEnd w:id="1710889987"/>
    </w:p>
    <w:p w:rsidR="00527B8C" w:rsidRDefault="00527B8C" w14:paraId="7F1DF62F" w14:textId="77777777">
      <w:pPr>
        <w:spacing w:after="0" w:line="360" w:lineRule="auto"/>
        <w:jc w:val="both"/>
        <w:rPr>
          <w:rStyle w:val="Ttulo2Car1"/>
          <w:rFonts w:ascii="Calibri" w:hAnsi="Calibri" w:eastAsia="Calibri" w:cs="Calibri"/>
          <w:sz w:val="24"/>
          <w:szCs w:val="24"/>
          <w:lang w:val="es-CO"/>
        </w:rPr>
      </w:pPr>
    </w:p>
    <w:p w:rsidR="00527B8C" w:rsidRDefault="00212A57" w14:paraId="3B7A76D7" w14:textId="77777777">
      <w:pPr>
        <w:spacing w:after="0" w:line="360" w:lineRule="auto"/>
        <w:ind w:firstLine="302" w:firstLineChars="126"/>
        <w:jc w:val="both"/>
        <w:rPr>
          <w:rFonts w:cs="Calibri"/>
          <w:sz w:val="24"/>
          <w:szCs w:val="24"/>
          <w:lang w:val="es-CO"/>
        </w:rPr>
      </w:pPr>
      <w:r>
        <w:rPr>
          <w:rFonts w:cs="Calibri"/>
          <w:sz w:val="24"/>
          <w:szCs w:val="24"/>
          <w:lang w:val="es-CO"/>
        </w:rPr>
        <w:t>La cadena productiva de agregados (arenas, gravas y arcillas) comprende las fases de exploración, extracción, beneficio (clasificación y lavado), transporte y comercialización. En la región amazónica colombiana, esta cadena enfrenta condiciones críticas: alta biodiversidad, presencia de áreas protegidas (SINAP), territorios indígenas y ecosistemas acuáticos frágiles, donde la minería autorizada está restringida. La demanda de agregados está estrechamente correlacionada con la actividad edificadora y de obra</w:t>
      </w:r>
      <w:r>
        <w:rPr>
          <w:rFonts w:cs="Calibri"/>
          <w:sz w:val="24"/>
          <w:szCs w:val="24"/>
          <w:lang w:val="es-CO"/>
        </w:rPr>
        <w:t>s civiles; cuando estas se dinamizan —por ejemplo, en proyectos de conectividad vial o infraestructura comunitaria— la presión sobre los cauces y bancos de materiales aumenta significativamente.</w:t>
      </w:r>
    </w:p>
    <w:p w:rsidR="00527B8C" w:rsidRDefault="00527B8C" w14:paraId="642DE30E" w14:textId="77777777">
      <w:pPr>
        <w:spacing w:after="0" w:line="360" w:lineRule="auto"/>
        <w:jc w:val="both"/>
        <w:rPr>
          <w:rFonts w:cs="Calibri"/>
          <w:sz w:val="24"/>
          <w:szCs w:val="24"/>
          <w:lang w:val="es-CO"/>
        </w:rPr>
      </w:pPr>
    </w:p>
    <w:p w:rsidR="00527B8C" w:rsidRDefault="00212A57" w14:paraId="4F6C7ED4" w14:textId="77777777">
      <w:pPr>
        <w:pStyle w:val="Ttulo2"/>
        <w:keepNext w:val="0"/>
        <w:keepLines w:val="0"/>
        <w:spacing w:before="0" w:line="360" w:lineRule="auto"/>
        <w:jc w:val="both"/>
        <w:rPr>
          <w:rStyle w:val="Ttulo2Car1"/>
          <w:rFonts w:ascii="Calibri" w:hAnsi="Calibri" w:eastAsia="Calibri" w:cs="Calibri"/>
          <w:sz w:val="24"/>
          <w:szCs w:val="24"/>
          <w:lang w:val="es-CO"/>
        </w:rPr>
      </w:pPr>
      <w:bookmarkStart w:name="_Toc1030416150" w:id="1564446219"/>
      <w:r w:rsidRPr="53DEF7DD" w:rsidR="670101B5">
        <w:rPr>
          <w:rFonts w:ascii="Calibri" w:hAnsi="Calibri" w:eastAsia="Calibri" w:cs="Calibri"/>
          <w:sz w:val="24"/>
          <w:szCs w:val="24"/>
          <w:lang w:val="es-CO"/>
        </w:rPr>
        <w:t>6.2. Retos Identificados</w:t>
      </w:r>
      <w:bookmarkEnd w:id="1564446219"/>
    </w:p>
    <w:p w:rsidR="00527B8C" w:rsidRDefault="00527B8C" w14:paraId="104A76B1" w14:textId="77777777">
      <w:pPr>
        <w:spacing w:after="0" w:line="360" w:lineRule="auto"/>
        <w:ind w:firstLine="302" w:firstLineChars="126"/>
        <w:jc w:val="both"/>
        <w:rPr>
          <w:rFonts w:cs="Calibri"/>
          <w:sz w:val="24"/>
          <w:szCs w:val="24"/>
          <w:lang w:val="es-CO"/>
        </w:rPr>
      </w:pPr>
    </w:p>
    <w:p w:rsidR="00527B8C" w:rsidRDefault="00212A57" w14:paraId="13B81874" w14:textId="77777777">
      <w:pPr>
        <w:pStyle w:val="Prrafodelista"/>
        <w:numPr>
          <w:ilvl w:val="0"/>
          <w:numId w:val="44"/>
        </w:numPr>
        <w:spacing w:after="0" w:line="360" w:lineRule="auto"/>
        <w:ind w:left="360" w:firstLine="304" w:firstLineChars="126"/>
        <w:jc w:val="both"/>
        <w:rPr>
          <w:rFonts w:cs="Calibri"/>
          <w:sz w:val="24"/>
          <w:szCs w:val="24"/>
          <w:lang w:val="es-CO"/>
        </w:rPr>
      </w:pPr>
      <w:r>
        <w:rPr>
          <w:rFonts w:cs="Calibri"/>
          <w:b/>
          <w:bCs/>
          <w:sz w:val="24"/>
          <w:szCs w:val="24"/>
          <w:lang w:val="es-CO"/>
        </w:rPr>
        <w:t>Acceso y logística</w:t>
      </w:r>
      <w:r>
        <w:rPr>
          <w:rFonts w:cs="Calibri"/>
          <w:sz w:val="24"/>
          <w:szCs w:val="24"/>
          <w:lang w:val="es-CO"/>
        </w:rPr>
        <w:t>: Baja conectividad terrestre y alta pluviosidad incrementan costos y riesgos operativos.</w:t>
      </w:r>
    </w:p>
    <w:p w:rsidR="00527B8C" w:rsidRDefault="00212A57" w14:paraId="188EDDCE" w14:textId="77777777">
      <w:pPr>
        <w:pStyle w:val="Prrafodelista"/>
        <w:numPr>
          <w:ilvl w:val="0"/>
          <w:numId w:val="44"/>
        </w:numPr>
        <w:spacing w:after="0" w:line="360" w:lineRule="auto"/>
        <w:ind w:left="360" w:firstLine="304" w:firstLineChars="126"/>
        <w:jc w:val="both"/>
        <w:rPr>
          <w:rFonts w:cs="Calibri"/>
          <w:sz w:val="24"/>
          <w:szCs w:val="24"/>
          <w:lang w:val="es-CO"/>
        </w:rPr>
      </w:pPr>
      <w:r>
        <w:rPr>
          <w:rFonts w:cs="Calibri"/>
          <w:b/>
          <w:bCs/>
          <w:sz w:val="24"/>
          <w:szCs w:val="24"/>
          <w:lang w:val="es-CO"/>
        </w:rPr>
        <w:t>Impactos ambientales</w:t>
      </w:r>
      <w:r>
        <w:rPr>
          <w:rFonts w:cs="Calibri"/>
          <w:sz w:val="24"/>
          <w:szCs w:val="24"/>
          <w:lang w:val="es-CO"/>
        </w:rPr>
        <w:t>: Alteración de cauces, sedimentación, pérdida de conectividad ecológica y afectación de corredores biológicos.</w:t>
      </w:r>
    </w:p>
    <w:p w:rsidR="00527B8C" w:rsidRDefault="00212A57" w14:paraId="3BDFDC23" w14:textId="77777777">
      <w:pPr>
        <w:pStyle w:val="Prrafodelista"/>
        <w:numPr>
          <w:ilvl w:val="0"/>
          <w:numId w:val="44"/>
        </w:numPr>
        <w:spacing w:after="0" w:line="360" w:lineRule="auto"/>
        <w:ind w:left="360" w:firstLine="304" w:firstLineChars="126"/>
        <w:jc w:val="both"/>
        <w:rPr>
          <w:rFonts w:cs="Calibri"/>
          <w:sz w:val="24"/>
          <w:szCs w:val="24"/>
          <w:lang w:val="es-CO"/>
        </w:rPr>
      </w:pPr>
      <w:r>
        <w:rPr>
          <w:rFonts w:cs="Calibri"/>
          <w:b/>
          <w:bCs/>
          <w:sz w:val="24"/>
          <w:szCs w:val="24"/>
          <w:lang w:val="es-CO"/>
        </w:rPr>
        <w:t>Informalidad y trazabilidad</w:t>
      </w:r>
      <w:r>
        <w:rPr>
          <w:rFonts w:cs="Calibri"/>
          <w:sz w:val="24"/>
          <w:szCs w:val="24"/>
          <w:lang w:val="es-CO"/>
        </w:rPr>
        <w:t>: Ausencia de sistemas robustos para garantizar la legalidad y prevenir riesgos asociados a lavado de activos.</w:t>
      </w:r>
    </w:p>
    <w:p w:rsidR="00527B8C" w:rsidRDefault="00212A57" w14:paraId="160CFC51" w14:textId="77777777">
      <w:pPr>
        <w:pStyle w:val="Prrafodelista"/>
        <w:numPr>
          <w:ilvl w:val="0"/>
          <w:numId w:val="44"/>
        </w:numPr>
        <w:spacing w:after="0" w:line="360" w:lineRule="auto"/>
        <w:ind w:left="360" w:firstLine="304" w:firstLineChars="126"/>
        <w:jc w:val="both"/>
        <w:rPr>
          <w:rFonts w:cs="Calibri"/>
          <w:sz w:val="24"/>
          <w:szCs w:val="24"/>
          <w:lang w:val="es-CO"/>
        </w:rPr>
      </w:pPr>
      <w:r>
        <w:rPr>
          <w:rFonts w:cs="Calibri"/>
          <w:b/>
          <w:bCs/>
          <w:sz w:val="24"/>
          <w:szCs w:val="24"/>
          <w:lang w:val="es-CO"/>
        </w:rPr>
        <w:t>Gestión de residuos</w:t>
      </w:r>
      <w:r>
        <w:rPr>
          <w:rFonts w:cs="Calibri"/>
          <w:sz w:val="24"/>
          <w:szCs w:val="24"/>
          <w:lang w:val="es-CO"/>
        </w:rPr>
        <w:t>: Escasa reutilización de RCD, lo que incrementa la presión sobre fuentes naturales.</w:t>
      </w:r>
    </w:p>
    <w:p w:rsidR="00527B8C" w:rsidRDefault="00212A57" w14:paraId="0C1A7666" w14:textId="77777777">
      <w:pPr>
        <w:pStyle w:val="Ttulo2"/>
        <w:keepNext w:val="0"/>
        <w:keepLines w:val="0"/>
        <w:spacing w:before="0" w:line="360" w:lineRule="auto"/>
        <w:jc w:val="both"/>
        <w:rPr>
          <w:rFonts w:ascii="Calibri" w:hAnsi="Calibri" w:eastAsia="Calibri" w:cs="Calibri"/>
          <w:sz w:val="24"/>
          <w:szCs w:val="24"/>
          <w:lang w:val="es-CO"/>
        </w:rPr>
      </w:pPr>
      <w:bookmarkStart w:name="_Toc1067659456" w:id="1393263715"/>
      <w:r w:rsidRPr="53DEF7DD" w:rsidR="670101B5">
        <w:rPr>
          <w:rFonts w:ascii="Calibri" w:hAnsi="Calibri" w:eastAsia="Calibri" w:cs="Calibri"/>
          <w:sz w:val="24"/>
          <w:szCs w:val="24"/>
          <w:lang w:val="es-CO"/>
        </w:rPr>
        <w:t>6.3. Recomendaciones de Política Pública</w:t>
      </w:r>
      <w:bookmarkEnd w:id="1393263715"/>
    </w:p>
    <w:p w:rsidR="00527B8C" w:rsidRDefault="00527B8C" w14:paraId="6E3CCC11" w14:textId="77777777">
      <w:pPr>
        <w:spacing w:after="0" w:line="360" w:lineRule="auto"/>
        <w:ind w:firstLine="302" w:firstLineChars="126"/>
        <w:jc w:val="both"/>
        <w:rPr>
          <w:rFonts w:cs="Calibri"/>
          <w:sz w:val="24"/>
          <w:szCs w:val="24"/>
          <w:lang w:val="es-CO"/>
        </w:rPr>
      </w:pPr>
    </w:p>
    <w:p w:rsidR="00527B8C" w:rsidRDefault="00212A57" w14:paraId="2D6D9E0A" w14:textId="77777777">
      <w:pPr>
        <w:pStyle w:val="Prrafodelista"/>
        <w:numPr>
          <w:ilvl w:val="0"/>
          <w:numId w:val="45"/>
        </w:numPr>
        <w:spacing w:after="0" w:line="360" w:lineRule="auto"/>
        <w:ind w:left="360" w:firstLine="304" w:firstLineChars="126"/>
        <w:jc w:val="both"/>
        <w:rPr>
          <w:rFonts w:cs="Calibri"/>
          <w:sz w:val="24"/>
          <w:szCs w:val="24"/>
          <w:lang w:val="es-CO"/>
        </w:rPr>
      </w:pPr>
      <w:r>
        <w:rPr>
          <w:rFonts w:cs="Calibri"/>
          <w:b/>
          <w:bCs/>
          <w:sz w:val="24"/>
          <w:szCs w:val="24"/>
          <w:lang w:val="es-CO"/>
        </w:rPr>
        <w:t>Incorporar lineamientos diferenciados para la Amazonía</w:t>
      </w:r>
      <w:r>
        <w:rPr>
          <w:rFonts w:cs="Calibri"/>
          <w:sz w:val="24"/>
          <w:szCs w:val="24"/>
          <w:lang w:val="es-CO"/>
        </w:rPr>
        <w:t xml:space="preserve"> en la normativa minera y ambiental, priorizando minería de bajo impacto y restauración de pasivos.</w:t>
      </w:r>
    </w:p>
    <w:p w:rsidR="00527B8C" w:rsidRDefault="00527B8C" w14:paraId="6154B4D5" w14:textId="77777777">
      <w:pPr>
        <w:pStyle w:val="Prrafodelista"/>
        <w:spacing w:after="0" w:line="360" w:lineRule="auto"/>
        <w:ind w:left="277" w:leftChars="126"/>
        <w:jc w:val="both"/>
        <w:rPr>
          <w:rFonts w:cs="Calibri"/>
          <w:sz w:val="24"/>
          <w:szCs w:val="24"/>
          <w:lang w:val="es-CO"/>
        </w:rPr>
      </w:pPr>
    </w:p>
    <w:p w:rsidR="00527B8C" w:rsidRDefault="00212A57" w14:paraId="09AA28FF" w14:textId="77777777">
      <w:pPr>
        <w:pStyle w:val="Prrafodelista"/>
        <w:numPr>
          <w:ilvl w:val="0"/>
          <w:numId w:val="45"/>
        </w:numPr>
        <w:spacing w:after="0" w:line="360" w:lineRule="auto"/>
        <w:ind w:left="360" w:firstLine="304" w:firstLineChars="126"/>
        <w:jc w:val="both"/>
        <w:rPr>
          <w:rFonts w:cs="Calibri"/>
          <w:sz w:val="24"/>
          <w:szCs w:val="24"/>
          <w:lang w:val="es-CO"/>
        </w:rPr>
      </w:pPr>
      <w:r>
        <w:rPr>
          <w:rFonts w:cs="Calibri"/>
          <w:b/>
          <w:bCs/>
          <w:sz w:val="24"/>
          <w:szCs w:val="24"/>
          <w:lang w:val="es-CO"/>
        </w:rPr>
        <w:t>Establecer un sistema nacional de trazabilidad digital</w:t>
      </w:r>
      <w:r>
        <w:rPr>
          <w:rFonts w:cs="Calibri"/>
          <w:sz w:val="24"/>
          <w:szCs w:val="24"/>
          <w:lang w:val="es-CO"/>
        </w:rPr>
        <w:t xml:space="preserve"> para agregados y RCD, interoperable con la red de monitoreo y plataformas de control ambiental.</w:t>
      </w:r>
    </w:p>
    <w:p w:rsidR="00527B8C" w:rsidRDefault="00527B8C" w14:paraId="5FF37B67" w14:textId="77777777">
      <w:pPr>
        <w:pStyle w:val="Prrafodelista"/>
        <w:spacing w:after="0" w:line="360" w:lineRule="auto"/>
        <w:ind w:left="277" w:leftChars="126"/>
        <w:jc w:val="both"/>
        <w:rPr>
          <w:rFonts w:cs="Calibri"/>
          <w:sz w:val="24"/>
          <w:szCs w:val="24"/>
          <w:lang w:val="es-CO"/>
        </w:rPr>
      </w:pPr>
    </w:p>
    <w:p w:rsidR="00527B8C" w:rsidRDefault="00212A57" w14:paraId="1AD2042C" w14:textId="77777777">
      <w:pPr>
        <w:pStyle w:val="Prrafodelista"/>
        <w:numPr>
          <w:ilvl w:val="0"/>
          <w:numId w:val="45"/>
        </w:numPr>
        <w:spacing w:after="0" w:line="360" w:lineRule="auto"/>
        <w:ind w:left="360" w:firstLine="304" w:firstLineChars="126"/>
        <w:jc w:val="both"/>
        <w:rPr>
          <w:rFonts w:cs="Calibri"/>
          <w:sz w:val="24"/>
          <w:szCs w:val="24"/>
          <w:lang w:val="es-CO"/>
        </w:rPr>
      </w:pPr>
      <w:r>
        <w:rPr>
          <w:rFonts w:cs="Calibri"/>
          <w:b/>
          <w:bCs/>
          <w:sz w:val="24"/>
          <w:szCs w:val="24"/>
          <w:lang w:val="es-CO"/>
        </w:rPr>
        <w:t>Crear incentivos para la economía circular</w:t>
      </w:r>
      <w:r>
        <w:rPr>
          <w:rFonts w:cs="Calibri"/>
          <w:sz w:val="24"/>
          <w:szCs w:val="24"/>
          <w:lang w:val="es-CO"/>
        </w:rPr>
        <w:t xml:space="preserve"> en proyectos de infraestructura, promoviendo la reutilización de RCD y la reducción de extracción en cauces.</w:t>
      </w:r>
    </w:p>
    <w:p w:rsidR="00527B8C" w:rsidRDefault="00527B8C" w14:paraId="05F6D917" w14:textId="77777777">
      <w:pPr>
        <w:pStyle w:val="Prrafodelista"/>
        <w:spacing w:after="0" w:line="360" w:lineRule="auto"/>
        <w:ind w:left="277" w:leftChars="126"/>
        <w:jc w:val="both"/>
        <w:rPr>
          <w:rFonts w:cs="Calibri"/>
          <w:sz w:val="24"/>
          <w:szCs w:val="24"/>
          <w:lang w:val="es-CO"/>
        </w:rPr>
      </w:pPr>
    </w:p>
    <w:p w:rsidR="00527B8C" w:rsidRDefault="00212A57" w14:paraId="69F2F74F" w14:textId="77777777">
      <w:pPr>
        <w:pStyle w:val="Prrafodelista"/>
        <w:numPr>
          <w:ilvl w:val="0"/>
          <w:numId w:val="45"/>
        </w:numPr>
        <w:spacing w:after="0" w:line="360" w:lineRule="auto"/>
        <w:ind w:left="360" w:firstLine="304" w:firstLineChars="126"/>
        <w:jc w:val="both"/>
        <w:rPr>
          <w:rFonts w:cs="Calibri"/>
          <w:sz w:val="24"/>
          <w:szCs w:val="24"/>
          <w:lang w:val="es-CO"/>
        </w:rPr>
      </w:pPr>
      <w:r>
        <w:rPr>
          <w:rFonts w:cs="Calibri"/>
          <w:b/>
          <w:bCs/>
          <w:sz w:val="24"/>
          <w:szCs w:val="24"/>
          <w:lang w:val="es-CO"/>
        </w:rPr>
        <w:t>Fortalecer la articulación intersectorial</w:t>
      </w:r>
      <w:r>
        <w:rPr>
          <w:rFonts w:cs="Calibri"/>
          <w:sz w:val="24"/>
          <w:szCs w:val="24"/>
          <w:lang w:val="es-CO"/>
        </w:rPr>
        <w:t xml:space="preserve"> (MinAmbiente, MinInterior, MinDefensa, autoridades indígenas) para garantizar la protección de ecosistemas estratégicos y la seguridad territorial. </w:t>
      </w:r>
    </w:p>
    <w:p w:rsidR="00527B8C" w:rsidRDefault="00527B8C" w14:paraId="29067521" w14:textId="77777777">
      <w:pPr>
        <w:pStyle w:val="Prrafodelista"/>
        <w:spacing w:after="0" w:line="360" w:lineRule="auto"/>
        <w:ind w:left="0"/>
        <w:jc w:val="both"/>
        <w:rPr>
          <w:rFonts w:cs="Calibri"/>
          <w:sz w:val="24"/>
          <w:szCs w:val="24"/>
          <w:lang w:val="es-CO"/>
        </w:rPr>
      </w:pPr>
    </w:p>
    <w:p w:rsidR="00527B8C" w:rsidRDefault="00212A57" w14:paraId="77C84E3F" w14:textId="77777777">
      <w:pPr>
        <w:pStyle w:val="Prrafodelista"/>
        <w:numPr>
          <w:ilvl w:val="0"/>
          <w:numId w:val="45"/>
        </w:numPr>
        <w:spacing w:after="0" w:line="360" w:lineRule="auto"/>
        <w:ind w:left="360" w:firstLine="304" w:firstLineChars="126"/>
        <w:jc w:val="both"/>
        <w:rPr>
          <w:rFonts w:cs="Calibri"/>
          <w:sz w:val="24"/>
          <w:szCs w:val="24"/>
          <w:lang w:val="es-CO"/>
        </w:rPr>
      </w:pPr>
      <w:r>
        <w:rPr>
          <w:rFonts w:cs="Calibri"/>
          <w:b/>
          <w:bCs/>
          <w:sz w:val="24"/>
          <w:szCs w:val="24"/>
          <w:lang w:val="es-CO"/>
        </w:rPr>
        <w:t>Asignar recursos para investigación aplicada y transferencia tecnológica</w:t>
      </w:r>
      <w:r>
        <w:rPr>
          <w:rFonts w:cs="Calibri"/>
          <w:sz w:val="24"/>
          <w:szCs w:val="24"/>
          <w:lang w:val="es-CO"/>
        </w:rPr>
        <w:t>, orientada a prácticas sostenibles y monitoreo participativo en territorios amazónicos.</w:t>
      </w:r>
    </w:p>
    <w:p w:rsidR="00527B8C" w:rsidRDefault="00212A57" w14:paraId="5A6ED03B" w14:textId="77777777">
      <w:pPr>
        <w:spacing w:after="0" w:line="360" w:lineRule="auto"/>
        <w:ind w:firstLine="302" w:firstLineChars="126"/>
        <w:jc w:val="both"/>
        <w:rPr>
          <w:rFonts w:cs="Calibri"/>
          <w:sz w:val="24"/>
          <w:szCs w:val="24"/>
          <w:lang w:val="es-CO"/>
        </w:rPr>
      </w:pPr>
      <w:r>
        <w:rPr>
          <w:rFonts w:cs="Calibri"/>
          <w:sz w:val="24"/>
          <w:szCs w:val="24"/>
          <w:lang w:val="es-CO"/>
        </w:rPr>
        <w:t>Estas acciones permitirán armonizar la demanda de agregados con los objetivos de conservación, reducir riesgos socioambientales y fortalecer la gobernanza territorial en uno de los ecosistemas más estratégicos del planeta.</w:t>
      </w:r>
    </w:p>
    <w:p w:rsidR="00527B8C" w:rsidRDefault="00527B8C" w14:paraId="68373F53" w14:textId="77777777">
      <w:pPr>
        <w:pStyle w:val="Ttulo1"/>
        <w:spacing w:before="0" w:line="360" w:lineRule="auto"/>
        <w:ind w:firstLine="304" w:firstLineChars="126"/>
        <w:jc w:val="both"/>
        <w:rPr>
          <w:rFonts w:ascii="Calibri" w:hAnsi="Calibri" w:eastAsia="Calibri" w:cs="Calibri"/>
          <w:sz w:val="24"/>
          <w:szCs w:val="24"/>
          <w:lang w:val="es-CO"/>
        </w:rPr>
      </w:pPr>
    </w:p>
    <w:p w:rsidR="00527B8C" w:rsidRDefault="00212A57" w14:paraId="2A852F77" w14:textId="77777777">
      <w:pPr>
        <w:pStyle w:val="Ttulo1"/>
        <w:spacing w:before="0" w:line="360" w:lineRule="auto"/>
        <w:jc w:val="both"/>
        <w:rPr>
          <w:rFonts w:ascii="Calibri" w:hAnsi="Calibri" w:eastAsia="Calibri" w:cs="Calibri"/>
          <w:sz w:val="24"/>
          <w:szCs w:val="24"/>
          <w:lang w:val="es-CO"/>
        </w:rPr>
      </w:pPr>
      <w:bookmarkStart w:name="_Toc1748588297" w:id="304726099"/>
      <w:r w:rsidRPr="53DEF7DD" w:rsidR="670101B5">
        <w:rPr>
          <w:rFonts w:ascii="Calibri" w:hAnsi="Calibri" w:eastAsia="Calibri" w:cs="Calibri"/>
          <w:sz w:val="24"/>
          <w:szCs w:val="24"/>
          <w:lang w:val="es-CO"/>
        </w:rPr>
        <w:t>7. Retos y Oportunidades</w:t>
      </w:r>
      <w:bookmarkEnd w:id="304726099"/>
    </w:p>
    <w:p w:rsidR="00527B8C" w:rsidRDefault="00212A57" w14:paraId="527AB9AD" w14:textId="77777777">
      <w:pPr>
        <w:pStyle w:val="Ttulo2"/>
        <w:spacing w:line="360" w:lineRule="auto"/>
        <w:jc w:val="both"/>
        <w:rPr>
          <w:rFonts w:ascii="Calibri" w:hAnsi="Calibri" w:eastAsia="Calibri" w:cs="Calibri"/>
          <w:b w:val="0"/>
          <w:bCs w:val="0"/>
          <w:sz w:val="24"/>
          <w:szCs w:val="24"/>
          <w:lang w:val="es-CO"/>
        </w:rPr>
      </w:pPr>
      <w:bookmarkStart w:name="_Toc982727809" w:id="170006342"/>
      <w:r w:rsidRPr="53DEF7DD" w:rsidR="670101B5">
        <w:rPr>
          <w:rFonts w:ascii="Calibri" w:hAnsi="Calibri" w:eastAsia="Calibri" w:cs="Calibri"/>
          <w:sz w:val="24"/>
          <w:szCs w:val="24"/>
          <w:lang w:val="es-CO"/>
        </w:rPr>
        <w:t>7.1. Retos</w:t>
      </w:r>
      <w:bookmarkEnd w:id="170006342"/>
      <w:r w:rsidRPr="53DEF7DD" w:rsidR="670101B5">
        <w:rPr>
          <w:rFonts w:ascii="Calibri" w:hAnsi="Calibri" w:eastAsia="Calibri" w:cs="Calibri"/>
          <w:sz w:val="24"/>
          <w:szCs w:val="24"/>
          <w:lang w:val="es-CO"/>
        </w:rPr>
        <w:t xml:space="preserve"> </w:t>
      </w:r>
    </w:p>
    <w:p w:rsidR="00527B8C" w:rsidRDefault="00212A57" w14:paraId="49320CB2" w14:textId="77777777">
      <w:pPr>
        <w:spacing w:after="0" w:line="360" w:lineRule="auto"/>
        <w:ind w:firstLine="302" w:firstLineChars="126"/>
        <w:jc w:val="both"/>
        <w:rPr>
          <w:rFonts w:cs="Calibri"/>
          <w:sz w:val="24"/>
          <w:szCs w:val="24"/>
          <w:lang w:val="es-CO"/>
        </w:rPr>
      </w:pPr>
      <w:r>
        <w:rPr>
          <w:rFonts w:cs="Calibri"/>
          <w:sz w:val="24"/>
          <w:szCs w:val="24"/>
          <w:lang w:val="es-CO"/>
        </w:rPr>
        <w:t>El mayor reto radica en la urgente necesidad de establecer estándares nacionales robustos para el manejo de los ecosistemas acuáticos. Estos estándares deben operar bajo un enfoque socio ecológico que garantice, de forma simultánea, la conservación de la biodiversidad y el bienestar de las comunidades locales. Específicamente, deberán incluir requisitos rigurosos para actividades como la extracción de materiales de arrastre, las cuales amenazan ríos, humedales y otros ecosistemas de agua dulce, con el fin d</w:t>
      </w:r>
      <w:r>
        <w:rPr>
          <w:rFonts w:cs="Calibri"/>
          <w:sz w:val="24"/>
          <w:szCs w:val="24"/>
          <w:lang w:val="es-CO"/>
        </w:rPr>
        <w:t>e proteger la conectividad de hábitats, la calidad del agua y la integridad de la biodiversidad.</w:t>
      </w:r>
    </w:p>
    <w:p w:rsidR="00527B8C" w:rsidRDefault="00527B8C" w14:paraId="201DE341" w14:textId="77777777">
      <w:pPr>
        <w:spacing w:after="0" w:line="360" w:lineRule="auto"/>
        <w:ind w:firstLine="302" w:firstLineChars="126"/>
        <w:jc w:val="both"/>
        <w:rPr>
          <w:rFonts w:cs="Calibri"/>
          <w:sz w:val="24"/>
          <w:szCs w:val="24"/>
          <w:lang w:val="es-CO"/>
        </w:rPr>
      </w:pPr>
    </w:p>
    <w:p w:rsidR="00554C29" w:rsidP="00554C29" w:rsidRDefault="00212A57" w14:paraId="2191CD94" w14:textId="1D088979">
      <w:pPr>
        <w:spacing w:before="210" w:after="210" w:line="360" w:lineRule="auto"/>
        <w:ind w:firstLine="302" w:firstLineChars="126"/>
        <w:jc w:val="both"/>
        <w:rPr>
          <w:rFonts w:cs="Calibri"/>
          <w:sz w:val="24"/>
          <w:szCs w:val="24"/>
          <w:lang w:val="es-CO"/>
        </w:rPr>
      </w:pPr>
      <w:r>
        <w:rPr>
          <w:rFonts w:cs="Calibri"/>
          <w:sz w:val="24"/>
          <w:szCs w:val="24"/>
          <w:lang w:val="es-CO"/>
        </w:rPr>
        <w:t>El segundo reto está dado por la formalización de unidades productivas, control en cauces, restauración de pasivos, trazabilidad y datos abiertos. En la región amazónica colombiana, este desafío se complejiza por factores estructurales y territoriales: la alta biodiversidad, la presencia de áreas protegidas (SINAP), resguardos indígenas, territorios de manejo especial donde la minería autorizada está restringida y la cooptación territorial de actores armados ilegales que alteran y dañan la gobernanza territ</w:t>
      </w:r>
      <w:r>
        <w:rPr>
          <w:rFonts w:cs="Calibri"/>
          <w:sz w:val="24"/>
          <w:szCs w:val="24"/>
          <w:lang w:val="es-CO"/>
        </w:rPr>
        <w:t>orial. A ello se suma la persistencia de economías ilícitas y la explotación no autorizada en ríos como Caquetá, Putumayo, Apaporis e Inírida, que genera impactos críticos en ecosistemas acuáticos y corredores biológicos.</w:t>
      </w:r>
    </w:p>
    <w:p w:rsidR="00527B8C" w:rsidRDefault="00212A57" w14:paraId="2D059226" w14:textId="7E586E70">
      <w:pPr>
        <w:spacing w:before="210" w:after="210" w:line="360" w:lineRule="auto"/>
        <w:ind w:firstLine="302" w:firstLineChars="126"/>
        <w:jc w:val="both"/>
        <w:rPr>
          <w:rFonts w:cs="Calibri"/>
          <w:sz w:val="24"/>
          <w:szCs w:val="24"/>
          <w:lang w:val="es-CO"/>
        </w:rPr>
      </w:pPr>
      <w:r>
        <w:rPr>
          <w:rFonts w:cs="Calibri"/>
          <w:sz w:val="24"/>
          <w:szCs w:val="24"/>
          <w:lang w:val="es-CO"/>
        </w:rPr>
        <w:t>La formalización enfrenta barreras como la dispersión geográfica de las unidades productivas, la falta de infraestructura para el control y monitoreo, y la limitada capacidad institucional para garantizar procesos de licenciamiento ambiental en zonas remotas. El control en cauces implica retos técnicos y legales, dado que la maquinaria utilizada para extraer material de arrastre altera la dinámica fluvial, incrementa la sedimentación y afecta la conectividad ecológica, lo que exige protocolos intersectorial</w:t>
      </w:r>
      <w:r>
        <w:rPr>
          <w:rFonts w:cs="Calibri"/>
          <w:sz w:val="24"/>
          <w:szCs w:val="24"/>
          <w:lang w:val="es-CO"/>
        </w:rPr>
        <w:t>es con autoridades ambientales y de defensa.</w:t>
      </w:r>
    </w:p>
    <w:p w:rsidR="00527B8C" w:rsidRDefault="00212A57" w14:paraId="49C48ADB" w14:textId="77777777">
      <w:pPr>
        <w:spacing w:before="210" w:after="210" w:line="360" w:lineRule="auto"/>
        <w:ind w:firstLine="302" w:firstLineChars="126"/>
        <w:jc w:val="both"/>
        <w:rPr>
          <w:rFonts w:cs="Calibri"/>
          <w:sz w:val="24"/>
          <w:szCs w:val="24"/>
          <w:lang w:val="es-CO"/>
        </w:rPr>
      </w:pPr>
      <w:r>
        <w:rPr>
          <w:rFonts w:cs="Calibri"/>
          <w:sz w:val="24"/>
          <w:szCs w:val="24"/>
          <w:lang w:val="es-CO"/>
        </w:rPr>
        <w:t>La restauración de pasivos ambientales se ve condicionada por la ausencia de mecanismos financieros y por la dificultad de intervenir en áreas donde la minería es ilícita, lo que demanda estrategias de gobernanza territorial y articulación con comunidades locales. En cuanto a trazabilidad, la cadena de valor del material de arrastre carece de sistemas robustos para identificar origen y destino, lo que incrementa en la cadena de comercialización riesgos de lavado de activos y dificulta la fiscalización. Fina</w:t>
      </w:r>
      <w:r>
        <w:rPr>
          <w:rFonts w:cs="Calibri"/>
          <w:sz w:val="24"/>
          <w:szCs w:val="24"/>
          <w:lang w:val="es-CO"/>
        </w:rPr>
        <w:t>lmente, la apertura de datos enfrenta retos asociados a la interoperabilidad entre plataformas institucionales, la protección de información sensible y la necesidad de incorporar variables socioambientales y culturales en los sistemas de monitoreo.</w:t>
      </w:r>
    </w:p>
    <w:p w:rsidR="00527B8C" w:rsidRDefault="00212A57" w14:paraId="140FBF3D" w14:textId="77777777">
      <w:pPr>
        <w:spacing w:before="210" w:after="210" w:line="360" w:lineRule="auto"/>
        <w:ind w:firstLine="302" w:firstLineChars="126"/>
        <w:jc w:val="both"/>
        <w:rPr>
          <w:rFonts w:cs="Calibri"/>
          <w:sz w:val="24"/>
          <w:szCs w:val="24"/>
          <w:lang w:val="es-CO"/>
        </w:rPr>
      </w:pPr>
      <w:r>
        <w:rPr>
          <w:rFonts w:cs="Calibri"/>
          <w:sz w:val="24"/>
          <w:szCs w:val="24"/>
          <w:lang w:val="es-CO"/>
        </w:rPr>
        <w:t>Estos retos exigen un enfoque integral que combine tecnología (sensores remotos, sistemas SIG), participación comunitaria, fortalecimiento institucional y cooperación internacional, para garantizar que la gestión del material de arrastre en la Amazonía sea compatible con los objetivos de conservación, desarrollo sostenible y protección climática del país.</w:t>
      </w:r>
    </w:p>
    <w:p w:rsidR="00527B8C" w:rsidRDefault="00527B8C" w14:paraId="3B284C2B" w14:textId="77777777">
      <w:pPr>
        <w:spacing w:before="210" w:after="210" w:line="360" w:lineRule="auto"/>
        <w:ind w:firstLine="302" w:firstLineChars="126"/>
        <w:jc w:val="both"/>
        <w:rPr>
          <w:rFonts w:cs="Calibri"/>
          <w:sz w:val="24"/>
          <w:szCs w:val="24"/>
          <w:lang w:val="es-CO"/>
        </w:rPr>
      </w:pPr>
    </w:p>
    <w:p w:rsidR="00527B8C" w:rsidRDefault="00212A57" w14:paraId="13FEF2A1" w14:textId="77777777">
      <w:pPr>
        <w:pStyle w:val="Ttulo2"/>
        <w:spacing w:line="360" w:lineRule="auto"/>
        <w:jc w:val="both"/>
        <w:rPr>
          <w:rFonts w:ascii="Calibri" w:hAnsi="Calibri" w:eastAsia="Calibri" w:cs="Calibri"/>
          <w:sz w:val="24"/>
          <w:szCs w:val="24"/>
          <w:lang w:val="es-CO"/>
        </w:rPr>
      </w:pPr>
      <w:bookmarkStart w:name="_Toc1183596524" w:id="1672175966"/>
      <w:r w:rsidRPr="53DEF7DD" w:rsidR="670101B5">
        <w:rPr>
          <w:rFonts w:ascii="Calibri" w:hAnsi="Calibri" w:eastAsia="Calibri" w:cs="Calibri"/>
          <w:sz w:val="24"/>
          <w:szCs w:val="24"/>
          <w:lang w:val="es-CO"/>
        </w:rPr>
        <w:t>7.2. Oportunidades</w:t>
      </w:r>
      <w:bookmarkEnd w:id="1672175966"/>
      <w:r w:rsidRPr="53DEF7DD" w:rsidR="670101B5">
        <w:rPr>
          <w:rFonts w:ascii="Calibri" w:hAnsi="Calibri" w:eastAsia="Calibri" w:cs="Calibri"/>
          <w:sz w:val="24"/>
          <w:szCs w:val="24"/>
          <w:lang w:val="es-CO"/>
        </w:rPr>
        <w:t xml:space="preserve"> </w:t>
      </w:r>
    </w:p>
    <w:p w:rsidR="00527B8C" w:rsidRDefault="00212A57" w14:paraId="36AEB845" w14:textId="77777777">
      <w:pPr>
        <w:spacing w:before="210" w:after="210" w:line="360" w:lineRule="auto"/>
        <w:ind w:firstLine="304" w:firstLineChars="126"/>
        <w:jc w:val="both"/>
        <w:rPr>
          <w:rFonts w:cs="Calibri"/>
          <w:sz w:val="24"/>
          <w:szCs w:val="24"/>
          <w:lang w:val="es-CO"/>
        </w:rPr>
      </w:pPr>
      <w:r>
        <w:rPr>
          <w:rFonts w:cs="Calibri"/>
          <w:b/>
          <w:bCs/>
          <w:sz w:val="24"/>
          <w:szCs w:val="24"/>
          <w:lang w:val="es-CO"/>
        </w:rPr>
        <w:t>Implementar una red de monitoreo territorializado para la región Amazónica.</w:t>
      </w:r>
      <w:r>
        <w:rPr>
          <w:rFonts w:cs="Calibri"/>
          <w:sz w:val="24"/>
          <w:szCs w:val="24"/>
          <w:lang w:val="es-CO"/>
        </w:rPr>
        <w:t xml:space="preserve"> </w:t>
      </w:r>
    </w:p>
    <w:p w:rsidR="00527B8C" w:rsidRDefault="00212A57" w14:paraId="67E0083B" w14:textId="77777777">
      <w:pPr>
        <w:spacing w:before="210" w:after="210" w:line="360" w:lineRule="auto"/>
        <w:ind w:firstLine="302" w:firstLineChars="126"/>
        <w:jc w:val="both"/>
        <w:rPr>
          <w:rFonts w:cs="Calibri"/>
          <w:sz w:val="24"/>
          <w:szCs w:val="24"/>
          <w:lang w:val="es-CO"/>
        </w:rPr>
      </w:pPr>
      <w:r>
        <w:rPr>
          <w:rFonts w:cs="Calibri"/>
          <w:sz w:val="24"/>
          <w:szCs w:val="24"/>
          <w:lang w:val="es-CO"/>
        </w:rPr>
        <w:t xml:space="preserve">La implementación de una </w:t>
      </w:r>
      <w:r>
        <w:rPr>
          <w:rFonts w:cs="Calibri"/>
          <w:b/>
          <w:bCs/>
          <w:sz w:val="24"/>
          <w:szCs w:val="24"/>
          <w:lang w:val="es-CO"/>
        </w:rPr>
        <w:t>red de monitoreo territorializado</w:t>
      </w:r>
      <w:r>
        <w:rPr>
          <w:rFonts w:cs="Calibri"/>
          <w:sz w:val="24"/>
          <w:szCs w:val="24"/>
          <w:lang w:val="es-CO"/>
        </w:rPr>
        <w:t xml:space="preserve"> en la Amazonía permitirá:</w:t>
      </w:r>
    </w:p>
    <w:p w:rsidR="00527B8C" w:rsidRDefault="00212A57" w14:paraId="18A89F1F" w14:textId="77777777">
      <w:pPr>
        <w:pStyle w:val="Prrafodelista"/>
        <w:numPr>
          <w:ilvl w:val="0"/>
          <w:numId w:val="46"/>
        </w:numPr>
        <w:spacing w:after="0" w:line="360" w:lineRule="auto"/>
        <w:ind w:left="360" w:firstLine="304" w:firstLineChars="126"/>
        <w:jc w:val="both"/>
        <w:rPr>
          <w:rFonts w:cs="Calibri"/>
          <w:sz w:val="24"/>
          <w:szCs w:val="24"/>
          <w:lang w:val="es-CO"/>
        </w:rPr>
      </w:pPr>
      <w:r>
        <w:rPr>
          <w:rFonts w:cs="Calibri"/>
          <w:b/>
          <w:bCs/>
          <w:sz w:val="24"/>
          <w:szCs w:val="24"/>
          <w:lang w:val="es-CO"/>
        </w:rPr>
        <w:t>Adopción de mejores prácticas</w:t>
      </w:r>
      <w:r>
        <w:rPr>
          <w:rFonts w:cs="Calibri"/>
          <w:sz w:val="24"/>
          <w:szCs w:val="24"/>
          <w:lang w:val="es-CO"/>
        </w:rPr>
        <w:t>: Protocolos de minería de bajo impacto, delimitación de áreas de exclusión y uso de tecnologías limpias.</w:t>
      </w:r>
    </w:p>
    <w:p w:rsidR="00527B8C" w:rsidRDefault="00212A57" w14:paraId="17ED1A04" w14:textId="77777777">
      <w:pPr>
        <w:pStyle w:val="Prrafodelista"/>
        <w:numPr>
          <w:ilvl w:val="0"/>
          <w:numId w:val="46"/>
        </w:numPr>
        <w:spacing w:after="0" w:line="360" w:lineRule="auto"/>
        <w:ind w:left="360" w:firstLine="304" w:firstLineChars="126"/>
        <w:jc w:val="both"/>
        <w:rPr>
          <w:rFonts w:cs="Calibri"/>
          <w:sz w:val="24"/>
          <w:szCs w:val="24"/>
          <w:lang w:val="es-CO"/>
        </w:rPr>
      </w:pPr>
      <w:r>
        <w:rPr>
          <w:rFonts w:cs="Calibri"/>
          <w:b/>
          <w:bCs/>
          <w:sz w:val="24"/>
          <w:szCs w:val="24"/>
          <w:lang w:val="es-CO"/>
        </w:rPr>
        <w:t>Planificación estratégica</w:t>
      </w:r>
      <w:r>
        <w:rPr>
          <w:rFonts w:cs="Calibri"/>
          <w:sz w:val="24"/>
          <w:szCs w:val="24"/>
          <w:lang w:val="es-CO"/>
        </w:rPr>
        <w:t xml:space="preserve">: Creación de </w:t>
      </w:r>
      <w:r>
        <w:rPr>
          <w:rFonts w:cs="Calibri"/>
          <w:b/>
          <w:bCs/>
          <w:sz w:val="24"/>
          <w:szCs w:val="24"/>
          <w:lang w:val="es-CO"/>
        </w:rPr>
        <w:t>bancas de materiales</w:t>
      </w:r>
      <w:r>
        <w:rPr>
          <w:rFonts w:cs="Calibri"/>
          <w:sz w:val="24"/>
          <w:szCs w:val="24"/>
          <w:lang w:val="es-CO"/>
        </w:rPr>
        <w:t xml:space="preserve"> para reducir la extracción directa y garantizar suministro ordenado.</w:t>
      </w:r>
    </w:p>
    <w:p w:rsidR="00527B8C" w:rsidRDefault="00212A57" w14:paraId="7E0BD64E" w14:textId="77777777">
      <w:pPr>
        <w:pStyle w:val="Prrafodelista"/>
        <w:numPr>
          <w:ilvl w:val="0"/>
          <w:numId w:val="46"/>
        </w:numPr>
        <w:spacing w:after="0" w:line="360" w:lineRule="auto"/>
        <w:ind w:left="360" w:firstLine="304" w:firstLineChars="126"/>
        <w:jc w:val="both"/>
        <w:rPr>
          <w:rFonts w:cs="Calibri"/>
          <w:sz w:val="24"/>
          <w:szCs w:val="24"/>
          <w:lang w:val="es-CO"/>
        </w:rPr>
      </w:pPr>
      <w:r>
        <w:rPr>
          <w:rFonts w:cs="Calibri"/>
          <w:b/>
          <w:bCs/>
          <w:sz w:val="24"/>
          <w:szCs w:val="24"/>
          <w:lang w:val="es-CO"/>
        </w:rPr>
        <w:t>Economía circular</w:t>
      </w:r>
      <w:r>
        <w:rPr>
          <w:rFonts w:cs="Calibri"/>
          <w:sz w:val="24"/>
          <w:szCs w:val="24"/>
          <w:lang w:val="es-CO"/>
        </w:rPr>
        <w:t>: Reutilización de residuos de construcción y demolición (RCD) para disminuir pasivos ambientales.</w:t>
      </w:r>
    </w:p>
    <w:p w:rsidR="00527B8C" w:rsidRDefault="00212A57" w14:paraId="272959C9" w14:textId="77777777">
      <w:pPr>
        <w:pStyle w:val="Prrafodelista"/>
        <w:numPr>
          <w:ilvl w:val="0"/>
          <w:numId w:val="46"/>
        </w:numPr>
        <w:spacing w:after="0" w:line="360" w:lineRule="auto"/>
        <w:ind w:left="360" w:firstLine="304" w:firstLineChars="126"/>
        <w:jc w:val="both"/>
        <w:rPr>
          <w:rFonts w:cs="Calibri"/>
          <w:sz w:val="24"/>
          <w:szCs w:val="24"/>
          <w:lang w:val="es-CO"/>
        </w:rPr>
      </w:pPr>
      <w:r>
        <w:rPr>
          <w:rFonts w:cs="Calibri"/>
          <w:b/>
          <w:bCs/>
          <w:sz w:val="24"/>
          <w:szCs w:val="24"/>
          <w:lang w:val="es-CO"/>
        </w:rPr>
        <w:t>Interoperabilidad de datos</w:t>
      </w:r>
      <w:r>
        <w:rPr>
          <w:rFonts w:cs="Calibri"/>
          <w:sz w:val="24"/>
          <w:szCs w:val="24"/>
          <w:lang w:val="es-CO"/>
        </w:rPr>
        <w:t>: Integración con plataformas institucionales y políticas de protección amazónica, alineadas con el Convenio de Diversidad Biológica y la declaratoria de la Amazonía como zona libre de gran minería e hidrocarburos.</w:t>
      </w:r>
    </w:p>
    <w:p w:rsidR="00527B8C" w:rsidRDefault="00212A57" w14:paraId="786639C6" w14:textId="77777777">
      <w:pPr>
        <w:pStyle w:val="Prrafodelista"/>
        <w:numPr>
          <w:ilvl w:val="0"/>
          <w:numId w:val="46"/>
        </w:numPr>
        <w:spacing w:after="0" w:line="360" w:lineRule="auto"/>
        <w:ind w:left="360" w:firstLine="304" w:firstLineChars="126"/>
        <w:jc w:val="both"/>
        <w:rPr>
          <w:rFonts w:cs="Calibri"/>
          <w:sz w:val="24"/>
          <w:szCs w:val="24"/>
          <w:lang w:val="es-CO"/>
        </w:rPr>
      </w:pPr>
      <w:r>
        <w:rPr>
          <w:rFonts w:cs="Calibri"/>
          <w:b/>
          <w:bCs/>
          <w:sz w:val="24"/>
          <w:szCs w:val="24"/>
          <w:lang w:val="es-CO"/>
        </w:rPr>
        <w:t>Gobernanza territorial</w:t>
      </w:r>
      <w:r>
        <w:rPr>
          <w:rFonts w:cs="Calibri"/>
          <w:sz w:val="24"/>
          <w:szCs w:val="24"/>
          <w:lang w:val="es-CO"/>
        </w:rPr>
        <w:t>: Participación activa de comunidades indígenas, autoridades locales y entidades sectoriales para legitimar decisiones y garantizar transparencia.</w:t>
      </w:r>
    </w:p>
    <w:p w:rsidR="00527B8C" w:rsidRDefault="00212A57" w14:paraId="04C36542" w14:textId="77777777">
      <w:pPr>
        <w:spacing w:before="210" w:after="210" w:line="360" w:lineRule="auto"/>
        <w:ind w:firstLine="302" w:firstLineChars="126"/>
        <w:jc w:val="both"/>
        <w:rPr>
          <w:rFonts w:cs="Calibri"/>
          <w:sz w:val="24"/>
          <w:szCs w:val="24"/>
          <w:lang w:val="es-CO"/>
        </w:rPr>
      </w:pPr>
      <w:r>
        <w:rPr>
          <w:rFonts w:cs="Calibri"/>
          <w:sz w:val="24"/>
          <w:szCs w:val="24"/>
          <w:lang w:val="es-CO"/>
        </w:rPr>
        <w:t>La adopción de mejores prácticas, la minería de bajo impacto, la banca de materiales, la reutilización de residuos de construcción y demolición (RCD) y la articulación con políticas de protección amazónica adquieren un nuevo significado cuando se integran en una red de monitoreo territorializado. Este tipo de red, diseñada con enfoque socioambiental y participación comunitaria, permite generar información precisa y contextualizada sobre dinámicas extractivas, impactos ecológicos y riesgos sociales, lo que s</w:t>
      </w:r>
      <w:r>
        <w:rPr>
          <w:rFonts w:cs="Calibri"/>
          <w:sz w:val="24"/>
          <w:szCs w:val="24"/>
          <w:lang w:val="es-CO"/>
        </w:rPr>
        <w:t>e traduce en decisiones más oportunas y sostenibles.</w:t>
      </w:r>
    </w:p>
    <w:p w:rsidR="00527B8C" w:rsidRDefault="00212A57" w14:paraId="5710400F" w14:textId="77777777">
      <w:pPr>
        <w:spacing w:before="210" w:after="210" w:line="360" w:lineRule="auto"/>
        <w:ind w:firstLine="302" w:firstLineChars="126"/>
        <w:jc w:val="both"/>
        <w:rPr>
          <w:rFonts w:cs="Calibri"/>
          <w:sz w:val="24"/>
          <w:szCs w:val="24"/>
          <w:lang w:val="es-CO"/>
        </w:rPr>
      </w:pPr>
      <w:r>
        <w:rPr>
          <w:rFonts w:cs="Calibri"/>
          <w:sz w:val="24"/>
          <w:szCs w:val="24"/>
          <w:lang w:val="es-CO"/>
        </w:rPr>
        <w:t>En primer lugar, la adopción de mejores prácticas se fortalece mediante la generación de indicadores comparables entre territorios, que evidencian el cumplimiento de protocolos ambientales, la reducción de huella hídrica y la mitigación de afectaciones en corredores biológicos. La red facilita la identificación de tecnologías limpias y procesos adaptativos que pueden ser replicados en zonas críticas, promoviendo estándares de operación compatibles con los objetivos de conservación.</w:t>
      </w:r>
    </w:p>
    <w:p w:rsidR="00527B8C" w:rsidRDefault="00212A57" w14:paraId="25766A4D" w14:textId="77777777">
      <w:pPr>
        <w:spacing w:before="210" w:after="210" w:line="360" w:lineRule="auto"/>
        <w:ind w:firstLine="302" w:firstLineChars="126"/>
        <w:jc w:val="both"/>
        <w:rPr>
          <w:rFonts w:cs="Calibri"/>
          <w:sz w:val="24"/>
          <w:szCs w:val="24"/>
          <w:lang w:val="es-CO"/>
        </w:rPr>
      </w:pPr>
      <w:r>
        <w:rPr>
          <w:rFonts w:cs="Calibri"/>
          <w:sz w:val="24"/>
          <w:szCs w:val="24"/>
          <w:lang w:val="es-CO"/>
        </w:rPr>
        <w:t>La minería de bajo impacto encuentra sustento en la información que la red provee sobre áreas vulnerables, caudales, biodiversidad y riesgos geológicos. Estos datos permiten delimitar zonas de exclusión, definir cargas máximas y establecer mecanismos de compensación ambiental, asegurando que las actividades extractivas se desarrollen bajo criterios de mínima alteración del ecosistema amazónico.</w:t>
      </w:r>
    </w:p>
    <w:p w:rsidR="00527B8C" w:rsidRDefault="00212A57" w14:paraId="4AD8C033" w14:textId="77777777">
      <w:pPr>
        <w:spacing w:before="210" w:after="210" w:line="360" w:lineRule="auto"/>
        <w:ind w:firstLine="302" w:firstLineChars="126"/>
        <w:jc w:val="both"/>
        <w:rPr>
          <w:rFonts w:cs="Calibri"/>
          <w:sz w:val="24"/>
          <w:szCs w:val="24"/>
          <w:lang w:val="es-CO"/>
        </w:rPr>
      </w:pPr>
      <w:r>
        <w:rPr>
          <w:rFonts w:cs="Calibri"/>
          <w:sz w:val="24"/>
          <w:szCs w:val="24"/>
          <w:lang w:val="es-CO"/>
        </w:rPr>
        <w:t>En cuanto a la banca de materiales, la red contribuye a planificar la extracción y almacenamiento estratégico de agregados, evitando sobreexplotación y reduciendo la presión sobre cauces y áreas sensibles. Esta planificación se apoya en análisis espaciales y proyecciones de demanda, integrando variables socioeconómicas y ambientales para garantizar un suministro ordenado y sostenible.</w:t>
      </w:r>
    </w:p>
    <w:p w:rsidR="00527B8C" w:rsidRDefault="00212A57" w14:paraId="78522F27" w14:textId="77777777">
      <w:pPr>
        <w:spacing w:before="210" w:after="210" w:line="360" w:lineRule="auto"/>
        <w:ind w:firstLine="302" w:firstLineChars="126"/>
        <w:jc w:val="both"/>
        <w:rPr>
          <w:rFonts w:cs="Calibri"/>
          <w:sz w:val="24"/>
          <w:szCs w:val="24"/>
          <w:lang w:val="es-CO"/>
        </w:rPr>
      </w:pPr>
      <w:r>
        <w:rPr>
          <w:rFonts w:cs="Calibri"/>
          <w:sz w:val="24"/>
          <w:szCs w:val="24"/>
          <w:lang w:val="es-CO"/>
        </w:rPr>
        <w:t>La reutilización de residuos de construcción y demolición (RCD) se potencia mediante la trazabilidad que ofrece la red, al identificar flujos de materiales y oportunidades para su reincorporación en procesos productivos locales. Esto no solo disminuye la generación de pasivos ambientales, sino que promueve economías circulares en territorios donde la infraestructura es limitada y los costos de transporte son elevados.</w:t>
      </w:r>
    </w:p>
    <w:p w:rsidR="00527B8C" w:rsidRDefault="00212A57" w14:paraId="03E7E814" w14:textId="77777777">
      <w:pPr>
        <w:spacing w:before="210" w:after="210" w:line="360" w:lineRule="auto"/>
        <w:ind w:firstLine="302" w:firstLineChars="126"/>
        <w:jc w:val="both"/>
        <w:rPr>
          <w:rFonts w:cs="Calibri"/>
          <w:sz w:val="24"/>
          <w:szCs w:val="24"/>
          <w:lang w:val="es-CO"/>
        </w:rPr>
      </w:pPr>
      <w:r>
        <w:rPr>
          <w:rFonts w:cs="Calibri"/>
          <w:sz w:val="24"/>
          <w:szCs w:val="24"/>
          <w:lang w:val="es-CO"/>
        </w:rPr>
        <w:t>Finalmente, la articulación con políticas de protección amazónica se materializa en la interoperabilidad de datos entre sectores (minero, ambiental, defensa, comunidades), lo que permite alinear las acciones de monitoreo con los compromisos del país en el marco del Convenio de Diversidad Biológica y la declaratoria de la Amazonía como zona libre de gran minería e hidrocarburos. La red se convierte en un instrumento clave para la gobernanza territorial, al facilitar la participación de autoridades indígenas,</w:t>
      </w:r>
      <w:r>
        <w:rPr>
          <w:rFonts w:cs="Calibri"/>
          <w:sz w:val="24"/>
          <w:szCs w:val="24"/>
          <w:lang w:val="es-CO"/>
        </w:rPr>
        <w:t xml:space="preserve"> organizaciones sociales y entidades públicas en la toma de decisiones, garantizando transparencia, legitimidad y enfoque diferencial.</w:t>
      </w:r>
    </w:p>
    <w:p w:rsidR="00527B8C" w:rsidRDefault="00212A57" w14:paraId="72BEF2F2" w14:textId="77777777">
      <w:pPr>
        <w:spacing w:before="210" w:after="210" w:line="360" w:lineRule="auto"/>
        <w:ind w:firstLine="302" w:firstLineChars="126"/>
        <w:jc w:val="both"/>
        <w:rPr>
          <w:rFonts w:cs="Calibri"/>
          <w:sz w:val="24"/>
          <w:szCs w:val="24"/>
          <w:lang w:val="es-CO"/>
        </w:rPr>
      </w:pPr>
      <w:r>
        <w:rPr>
          <w:rFonts w:cs="Calibri"/>
          <w:sz w:val="24"/>
          <w:szCs w:val="24"/>
          <w:lang w:val="es-CO"/>
        </w:rPr>
        <w:t>En síntesis, una red de monitoreo territorializado no solo genera información técnica, sino que habilita procesos de innovación, control y restauración que son esenciales para armonizar el aprovechamiento de materiales con la protección de uno de los ecosistemas más estratégicos del planeta.</w:t>
      </w:r>
    </w:p>
    <w:p w:rsidR="00527B8C" w:rsidRDefault="00527B8C" w14:paraId="227B2A26" w14:textId="77777777">
      <w:pPr>
        <w:spacing w:before="210" w:after="210" w:line="360" w:lineRule="auto"/>
        <w:ind w:firstLine="302" w:firstLineChars="126"/>
        <w:jc w:val="both"/>
        <w:rPr>
          <w:rFonts w:cs="Calibri"/>
          <w:sz w:val="24"/>
          <w:szCs w:val="24"/>
          <w:lang w:val="es-CO"/>
        </w:rPr>
      </w:pPr>
    </w:p>
    <w:p w:rsidR="00527B8C" w:rsidRDefault="00212A57" w14:paraId="6A0CAD92" w14:textId="77777777">
      <w:pPr>
        <w:pStyle w:val="Ttulo1"/>
        <w:keepNext w:val="0"/>
        <w:keepLines w:val="0"/>
        <w:spacing w:before="0" w:line="360" w:lineRule="auto"/>
        <w:jc w:val="both"/>
        <w:rPr>
          <w:rFonts w:ascii="Calibri" w:hAnsi="Calibri" w:eastAsia="Calibri" w:cs="Calibri"/>
          <w:sz w:val="24"/>
          <w:szCs w:val="24"/>
          <w:lang w:val="es-CO"/>
        </w:rPr>
      </w:pPr>
      <w:bookmarkStart w:name="_Toc1778773406" w:id="1822267594"/>
      <w:r w:rsidRPr="53DEF7DD" w:rsidR="670101B5">
        <w:rPr>
          <w:rFonts w:ascii="Calibri" w:hAnsi="Calibri" w:eastAsia="Calibri" w:cs="Calibri"/>
          <w:sz w:val="24"/>
          <w:szCs w:val="24"/>
          <w:lang w:val="es-CO"/>
        </w:rPr>
        <w:t>8. Conclusiones y Recomendaciones</w:t>
      </w:r>
      <w:bookmarkEnd w:id="1822267594"/>
    </w:p>
    <w:p w:rsidR="00527B8C" w:rsidRDefault="00527B8C" w14:paraId="036BBBF8" w14:textId="77777777">
      <w:pPr>
        <w:spacing w:after="0" w:line="360" w:lineRule="auto"/>
        <w:ind w:firstLine="302" w:firstLineChars="126"/>
        <w:jc w:val="both"/>
        <w:rPr>
          <w:rFonts w:cs="Calibri"/>
          <w:sz w:val="24"/>
          <w:szCs w:val="24"/>
          <w:lang w:val="es-CO"/>
        </w:rPr>
      </w:pPr>
    </w:p>
    <w:p w:rsidR="00527B8C" w:rsidRDefault="00212A57" w14:paraId="5716CB38" w14:textId="77777777">
      <w:pPr>
        <w:spacing w:after="0" w:line="360" w:lineRule="auto"/>
        <w:ind w:firstLine="302" w:firstLineChars="126"/>
        <w:jc w:val="both"/>
        <w:rPr>
          <w:rFonts w:cs="Calibri"/>
          <w:sz w:val="24"/>
          <w:szCs w:val="24"/>
          <w:lang w:val="es-CO"/>
        </w:rPr>
      </w:pPr>
      <w:r>
        <w:rPr>
          <w:rFonts w:cs="Calibri"/>
          <w:sz w:val="24"/>
          <w:szCs w:val="24"/>
          <w:lang w:val="es-CO"/>
        </w:rPr>
        <w:t>El sector de materiales de construcción es clave para la infraestructura, pero requiere fortalecer la gobernanza ambiental y social, especialmente en territorios sensibles como la Amazonía. Se recomienda: (i) robustecer la fiscalización en cauces y orillas, (ii) acelerar la formalización con enfoque territorial, (iii) implementar planes de restauración y cierres efectivos, y (iv) promover alternativas productivas para comunidades locales.</w:t>
      </w:r>
    </w:p>
    <w:p w:rsidR="00527B8C" w:rsidRDefault="00527B8C" w14:paraId="207F110B" w14:textId="77777777">
      <w:pPr>
        <w:spacing w:after="0" w:line="360" w:lineRule="auto"/>
        <w:ind w:firstLine="302" w:firstLineChars="126"/>
        <w:jc w:val="both"/>
        <w:rPr>
          <w:rFonts w:cs="Calibri"/>
          <w:sz w:val="24"/>
          <w:szCs w:val="24"/>
          <w:lang w:val="es-CO"/>
        </w:rPr>
      </w:pPr>
    </w:p>
    <w:p w:rsidR="00527B8C" w:rsidRDefault="00212A57" w14:paraId="45BD837A" w14:textId="77777777">
      <w:pPr>
        <w:spacing w:after="0" w:line="360" w:lineRule="auto"/>
        <w:ind w:firstLine="302" w:firstLineChars="126"/>
        <w:jc w:val="both"/>
        <w:rPr>
          <w:rFonts w:cs="Calibri"/>
          <w:sz w:val="24"/>
          <w:szCs w:val="24"/>
          <w:lang w:val="es-CO"/>
        </w:rPr>
      </w:pPr>
      <w:r>
        <w:rPr>
          <w:rFonts w:cs="Calibri"/>
          <w:sz w:val="24"/>
          <w:szCs w:val="24"/>
          <w:lang w:val="es-CO"/>
        </w:rPr>
        <w:t>Para garantizar un enfoque verdaderamente aplicado a la evaluación de materiales de arrastre, es indispensable enfatizar la calidad de los agregados, la dinámica fluvial y la sostenibilidad del recurso. En este sentido, la caracterización integral de los depósitos requiere una metodología sólida que articule la geología de cuenca, la geología local detallada, la sedimentología y litología, el análisis geomorfológico multitemporal, la hidrología y el transporte de sedimentos, así como técnicas geofísicas com</w:t>
      </w:r>
      <w:r>
        <w:rPr>
          <w:rFonts w:cs="Calibri"/>
          <w:sz w:val="24"/>
          <w:szCs w:val="24"/>
          <w:lang w:val="es-CO"/>
        </w:rPr>
        <w:t>plementarias. La integración de estos componentes permite construir un modelo geológico coherente orientado a la estimación de recursos y reservas, asegurando así una evaluación confiable y ambientalmente responsable del potencial de materiales de arrastre.</w:t>
      </w:r>
    </w:p>
    <w:p w:rsidR="00527B8C" w:rsidRDefault="00527B8C" w14:paraId="1269A6CE" w14:textId="77777777">
      <w:pPr>
        <w:pStyle w:val="Ttulo1"/>
        <w:spacing w:before="0" w:line="360" w:lineRule="auto"/>
        <w:jc w:val="both"/>
        <w:rPr>
          <w:rFonts w:ascii="Calibri" w:hAnsi="Calibri" w:eastAsia="Calibri" w:cs="Calibri"/>
          <w:sz w:val="24"/>
          <w:szCs w:val="24"/>
          <w:lang w:val="es-CO"/>
        </w:rPr>
      </w:pPr>
    </w:p>
    <w:p w:rsidR="00527B8C" w:rsidRDefault="00212A57" w14:paraId="7A30EB3F" w14:textId="77777777">
      <w:pPr>
        <w:pStyle w:val="Ttulo1"/>
        <w:spacing w:before="0" w:line="360" w:lineRule="auto"/>
        <w:jc w:val="both"/>
        <w:rPr>
          <w:rFonts w:ascii="Calibri" w:hAnsi="Calibri" w:eastAsia="Calibri" w:cs="Calibri"/>
          <w:sz w:val="24"/>
          <w:szCs w:val="24"/>
          <w:lang w:val="es-CO"/>
        </w:rPr>
      </w:pPr>
      <w:bookmarkStart w:name="_Toc1544287413" w:id="1035702298"/>
      <w:r w:rsidRPr="53DEF7DD" w:rsidR="670101B5">
        <w:rPr>
          <w:rFonts w:ascii="Calibri" w:hAnsi="Calibri" w:eastAsia="Calibri" w:cs="Calibri"/>
          <w:sz w:val="24"/>
          <w:szCs w:val="24"/>
          <w:lang w:val="es-CO"/>
        </w:rPr>
        <w:t>Recomendaciones:</w:t>
      </w:r>
      <w:bookmarkEnd w:id="1035702298"/>
    </w:p>
    <w:p w:rsidR="00527B8C" w:rsidRDefault="00212A57" w14:paraId="41BDDBDA" w14:textId="77777777">
      <w:pPr>
        <w:spacing w:after="160" w:line="360" w:lineRule="auto"/>
        <w:ind w:firstLine="302" w:firstLineChars="126"/>
        <w:jc w:val="both"/>
        <w:rPr>
          <w:rFonts w:cs="Calibri"/>
          <w:sz w:val="24"/>
          <w:szCs w:val="24"/>
          <w:lang w:val="es-CO"/>
        </w:rPr>
      </w:pPr>
      <w:r>
        <w:rPr>
          <w:rFonts w:cs="Calibri"/>
          <w:sz w:val="24"/>
          <w:szCs w:val="24"/>
          <w:lang w:val="es-CO"/>
        </w:rPr>
        <w:t>Se recomienda priorizar la realización de estudios metalogénicos detallados, dada la presencia de rocas nefelínicas con contenido de elementos de tierras raras (REE) y la posible ocurrencia de mineralizaciones asociadas a litologías ácidas, cuarzosas y metamórficas. Estos estudios deben orientar la identificación, evaluación y delimitación de zonas con potencial mineral, sustentando la planificación sectorial y la toma de decisiones.</w:t>
      </w:r>
    </w:p>
    <w:p w:rsidR="00527B8C" w:rsidRDefault="00212A57" w14:paraId="2BA81FBA" w14:textId="77777777">
      <w:pPr>
        <w:spacing w:after="160" w:line="360" w:lineRule="auto"/>
        <w:ind w:firstLine="302" w:firstLineChars="126"/>
        <w:jc w:val="both"/>
        <w:rPr>
          <w:rFonts w:cs="Calibri"/>
          <w:sz w:val="24"/>
          <w:szCs w:val="24"/>
          <w:lang w:val="es-CO"/>
        </w:rPr>
      </w:pPr>
      <w:r>
        <w:rPr>
          <w:rFonts w:cs="Calibri"/>
          <w:sz w:val="24"/>
          <w:szCs w:val="24"/>
          <w:lang w:val="es-CO"/>
        </w:rPr>
        <w:t>Así mismo, se propone establecer lineamientos y una zonificación técnica que clasifique el territorio en áreas aptas, condicionadas y no aptas para actividades de exploración y aprovechamiento, incorporando criterios geológicos, ambientales y socioeconómicos. Esta zonificación debe articularse con los requisitos técnicos aplicables, las restricciones territoriales vigentes y los instrumentos de gobernanza, con el fin de garantizar un manejo responsable, transparente y coherente con los objetivos de ordenami</w:t>
      </w:r>
      <w:r>
        <w:rPr>
          <w:rFonts w:cs="Calibri"/>
          <w:sz w:val="24"/>
          <w:szCs w:val="24"/>
          <w:lang w:val="es-CO"/>
        </w:rPr>
        <w:t>ento y sostenibilidad del recurso.</w:t>
      </w:r>
    </w:p>
    <w:p w:rsidR="008B0F6E" w:rsidRDefault="008B0F6E" w14:paraId="383369B6" w14:textId="77777777">
      <w:pPr>
        <w:spacing w:after="160" w:line="360" w:lineRule="auto"/>
        <w:ind w:firstLine="302" w:firstLineChars="126"/>
        <w:jc w:val="both"/>
        <w:rPr>
          <w:rFonts w:cs="Calibri"/>
          <w:sz w:val="24"/>
          <w:szCs w:val="24"/>
          <w:lang w:val="es-CO"/>
        </w:rPr>
      </w:pPr>
    </w:p>
    <w:p w:rsidR="00527B8C" w:rsidRDefault="00212A57" w14:paraId="4C42667B" w14:textId="77777777">
      <w:pPr>
        <w:pStyle w:val="Ttulo1"/>
        <w:spacing w:before="0" w:line="360" w:lineRule="auto"/>
        <w:jc w:val="both"/>
        <w:rPr>
          <w:rFonts w:ascii="Calibri" w:hAnsi="Calibri" w:eastAsia="Calibri" w:cs="Calibri"/>
          <w:sz w:val="24"/>
          <w:szCs w:val="24"/>
          <w:lang w:val="es-CO"/>
        </w:rPr>
      </w:pPr>
      <w:bookmarkStart w:name="_Toc479616763" w:id="274917219"/>
      <w:r w:rsidRPr="53DEF7DD" w:rsidR="670101B5">
        <w:rPr>
          <w:rFonts w:ascii="Calibri" w:hAnsi="Calibri" w:eastAsia="Calibri" w:cs="Calibri"/>
          <w:sz w:val="24"/>
          <w:szCs w:val="24"/>
          <w:lang w:val="es-CO"/>
        </w:rPr>
        <w:t>9. Referencias</w:t>
      </w:r>
      <w:bookmarkEnd w:id="274917219"/>
    </w:p>
    <w:p w:rsidR="008B0F6E" w:rsidP="008B0F6E" w:rsidRDefault="008B0F6E" w14:paraId="36080EEE" w14:textId="77777777">
      <w:pPr>
        <w:spacing w:after="0"/>
        <w:ind w:left="302" w:hanging="302" w:hangingChars="126"/>
        <w:jc w:val="both"/>
        <w:rPr>
          <w:rFonts w:cs="Calibri"/>
          <w:sz w:val="24"/>
          <w:szCs w:val="24"/>
          <w:lang w:val="es-CO"/>
        </w:rPr>
      </w:pPr>
    </w:p>
    <w:p w:rsidR="00527B8C" w:rsidP="008B0F6E" w:rsidRDefault="00212A57" w14:paraId="1822B56D" w14:textId="652420B8">
      <w:pPr>
        <w:spacing w:after="384" w:afterLines="160"/>
        <w:ind w:left="302" w:hanging="302" w:hangingChars="126"/>
        <w:jc w:val="both"/>
        <w:rPr>
          <w:rFonts w:cs="Calibri"/>
          <w:sz w:val="24"/>
          <w:szCs w:val="24"/>
          <w:lang w:val="es-CO"/>
        </w:rPr>
      </w:pPr>
      <w:r>
        <w:rPr>
          <w:rFonts w:cs="Calibri"/>
          <w:sz w:val="24"/>
          <w:szCs w:val="24"/>
          <w:lang w:val="es-CO"/>
        </w:rPr>
        <w:t xml:space="preserve">Agencia Nacional de Minería (ANM). (2021). </w:t>
      </w:r>
      <w:r>
        <w:rPr>
          <w:rFonts w:cs="Calibri"/>
          <w:i/>
          <w:iCs/>
          <w:sz w:val="24"/>
          <w:szCs w:val="24"/>
          <w:lang w:val="es-CO"/>
        </w:rPr>
        <w:t>Guía de Buenas Prácticas Materiales de Arrastre</w:t>
      </w:r>
      <w:r>
        <w:rPr>
          <w:rFonts w:cs="Calibri"/>
          <w:sz w:val="24"/>
          <w:szCs w:val="24"/>
          <w:lang w:val="es-CO"/>
        </w:rPr>
        <w:t xml:space="preserve">. Recuperado de </w:t>
      </w:r>
      <w:hyperlink r:id="rId30">
        <w:r w:rsidR="00527B8C">
          <w:rPr>
            <w:rStyle w:val="Hipervnculo"/>
            <w:rFonts w:cs="Calibri"/>
            <w:sz w:val="24"/>
            <w:szCs w:val="24"/>
            <w:lang w:val="es-CO"/>
          </w:rPr>
          <w:t>https://www.anm.gov.co/sites/default/files/DocumentosAnm/guia-materiales-de-arrastre.pdf</w:t>
        </w:r>
      </w:hyperlink>
    </w:p>
    <w:p w:rsidR="00527B8C" w:rsidP="008B0F6E" w:rsidRDefault="00212A57" w14:paraId="62CA4173" w14:textId="77777777">
      <w:pPr>
        <w:spacing w:after="384" w:afterLines="160"/>
        <w:ind w:left="302" w:hanging="302" w:hangingChars="126"/>
        <w:jc w:val="both"/>
        <w:rPr>
          <w:rFonts w:cs="Calibri"/>
          <w:sz w:val="24"/>
          <w:szCs w:val="24"/>
          <w:lang w:val="es-CO"/>
        </w:rPr>
      </w:pPr>
      <w:r>
        <w:rPr>
          <w:rFonts w:cs="Calibri"/>
          <w:sz w:val="24"/>
          <w:szCs w:val="24"/>
          <w:lang w:val="es-CO"/>
        </w:rPr>
        <w:t xml:space="preserve">Agencia Nacional de Minería (ANM). (2021). </w:t>
      </w:r>
      <w:r>
        <w:rPr>
          <w:rFonts w:cs="Calibri"/>
          <w:i/>
          <w:iCs/>
          <w:sz w:val="24"/>
          <w:szCs w:val="24"/>
          <w:lang w:val="es-CO"/>
        </w:rPr>
        <w:t>Guía de Buenas Prácticas para Materiales de Arrastre</w:t>
      </w:r>
      <w:r>
        <w:rPr>
          <w:rFonts w:cs="Calibri"/>
          <w:sz w:val="24"/>
          <w:szCs w:val="24"/>
          <w:lang w:val="es-CO"/>
        </w:rPr>
        <w:t xml:space="preserve">. Recuperado de </w:t>
      </w:r>
      <w:hyperlink r:id="rId31">
        <w:r w:rsidR="00527B8C">
          <w:rPr>
            <w:rStyle w:val="Hipervnculo"/>
            <w:rFonts w:cs="Calibri"/>
            <w:sz w:val="24"/>
            <w:szCs w:val="24"/>
            <w:lang w:val="es-CO"/>
          </w:rPr>
          <w:t>https://www.anm.gov.co/sites/default/files/DocumentosAnm/guia-materiales-de-arrastre.pdf</w:t>
        </w:r>
      </w:hyperlink>
      <w:r>
        <w:rPr>
          <w:rFonts w:cs="Calibri"/>
          <w:sz w:val="24"/>
          <w:szCs w:val="24"/>
          <w:lang w:val="es-CO"/>
        </w:rPr>
        <w:t xml:space="preserve"> </w:t>
      </w:r>
    </w:p>
    <w:p w:rsidR="00527B8C" w:rsidP="008B0F6E" w:rsidRDefault="00212A57" w14:paraId="043DCF65" w14:textId="77777777">
      <w:pPr>
        <w:spacing w:after="384" w:afterLines="160"/>
        <w:ind w:left="302" w:hanging="302" w:hangingChars="126"/>
        <w:jc w:val="both"/>
        <w:rPr>
          <w:rFonts w:cs="Calibri"/>
          <w:sz w:val="24"/>
          <w:szCs w:val="24"/>
          <w:lang w:val="es-CO"/>
        </w:rPr>
      </w:pPr>
      <w:r>
        <w:rPr>
          <w:rFonts w:cs="Calibri"/>
          <w:sz w:val="24"/>
          <w:szCs w:val="24"/>
          <w:lang w:val="es-CO"/>
        </w:rPr>
        <w:t xml:space="preserve">Agencia Nacional de Minería (ANM). (s.f.). </w:t>
      </w:r>
      <w:r>
        <w:rPr>
          <w:rFonts w:cs="Calibri"/>
          <w:i/>
          <w:iCs/>
          <w:sz w:val="24"/>
          <w:szCs w:val="24"/>
          <w:lang w:val="es-CO"/>
        </w:rPr>
        <w:t>Guía de materiales de arrastre; Catastro minero y visor geográfico; liberación de áreas</w:t>
      </w:r>
      <w:r>
        <w:rPr>
          <w:rFonts w:cs="Calibri"/>
          <w:sz w:val="24"/>
          <w:szCs w:val="24"/>
          <w:lang w:val="es-CO"/>
        </w:rPr>
        <w:t xml:space="preserve">. Recuperado de </w:t>
      </w:r>
      <w:hyperlink r:id="rId32">
        <w:r w:rsidR="00527B8C">
          <w:rPr>
            <w:rStyle w:val="Hipervnculo"/>
            <w:rFonts w:cs="Calibri"/>
            <w:sz w:val="24"/>
            <w:szCs w:val="24"/>
            <w:lang w:val="es-CO"/>
          </w:rPr>
          <w:t>https://anm.gov.co</w:t>
        </w:r>
      </w:hyperlink>
      <w:r>
        <w:rPr>
          <w:rFonts w:cs="Calibri"/>
          <w:sz w:val="24"/>
          <w:szCs w:val="24"/>
          <w:lang w:val="es-CO"/>
        </w:rPr>
        <w:t xml:space="preserve"> y </w:t>
      </w:r>
      <w:hyperlink r:id="rId33">
        <w:r w:rsidR="00527B8C">
          <w:rPr>
            <w:rStyle w:val="Hipervnculo"/>
            <w:rFonts w:cs="Calibri"/>
            <w:sz w:val="24"/>
            <w:szCs w:val="24"/>
            <w:lang w:val="es-CO"/>
          </w:rPr>
          <w:t>https://annamineria.anm.gov.co</w:t>
        </w:r>
      </w:hyperlink>
      <w:r>
        <w:rPr>
          <w:rFonts w:cs="Calibri"/>
          <w:sz w:val="24"/>
          <w:szCs w:val="24"/>
          <w:lang w:val="es-CO"/>
        </w:rPr>
        <w:t xml:space="preserve"> </w:t>
      </w:r>
    </w:p>
    <w:p w:rsidR="00527B8C" w:rsidP="008B0F6E" w:rsidRDefault="00212A57" w14:paraId="5249F769" w14:textId="77777777">
      <w:pPr>
        <w:spacing w:after="384" w:afterLines="160"/>
        <w:ind w:left="302" w:hanging="302" w:hangingChars="126"/>
        <w:jc w:val="both"/>
        <w:rPr>
          <w:rFonts w:cs="Calibri"/>
          <w:sz w:val="24"/>
          <w:szCs w:val="24"/>
          <w:lang w:val="es-CO"/>
        </w:rPr>
      </w:pPr>
      <w:r>
        <w:rPr>
          <w:rFonts w:cs="Calibri"/>
          <w:sz w:val="24"/>
          <w:szCs w:val="24"/>
          <w:lang w:val="es-CO"/>
        </w:rPr>
        <w:t xml:space="preserve">Autoridad Nacional de Licencias Ambientales (ANLA). (2023). </w:t>
      </w:r>
      <w:r>
        <w:rPr>
          <w:rFonts w:cs="Calibri"/>
          <w:i/>
          <w:iCs/>
          <w:sz w:val="24"/>
          <w:szCs w:val="24"/>
          <w:lang w:val="es-CO"/>
        </w:rPr>
        <w:t>Proyecto Río Saldaña</w:t>
      </w:r>
      <w:r>
        <w:rPr>
          <w:rFonts w:cs="Calibri"/>
          <w:sz w:val="24"/>
          <w:szCs w:val="24"/>
          <w:lang w:val="es-CO"/>
        </w:rPr>
        <w:t xml:space="preserve">. Recuperado de </w:t>
      </w:r>
      <w:hyperlink r:id="rId34">
        <w:r w:rsidR="00527B8C">
          <w:rPr>
            <w:rStyle w:val="Hipervnculo"/>
            <w:rFonts w:cs="Calibri"/>
            <w:sz w:val="24"/>
            <w:szCs w:val="24"/>
            <w:lang w:val="es-CO"/>
          </w:rPr>
          <w:t>https://www.anla.gov.co/proyectos-de-interes-en-evaluacion/pie-explotacion-y-produccion-materiales-arrastre-rio-saldana</w:t>
        </w:r>
      </w:hyperlink>
    </w:p>
    <w:p w:rsidR="00527B8C" w:rsidP="008B0F6E" w:rsidRDefault="00212A57" w14:paraId="319F768D" w14:textId="77777777">
      <w:pPr>
        <w:spacing w:after="384" w:afterLines="160"/>
        <w:ind w:left="302" w:hanging="302" w:hangingChars="126"/>
        <w:jc w:val="both"/>
        <w:rPr>
          <w:rFonts w:cs="Calibri"/>
          <w:sz w:val="24"/>
          <w:szCs w:val="24"/>
          <w:lang w:val="es-CO"/>
        </w:rPr>
      </w:pPr>
      <w:r>
        <w:rPr>
          <w:rFonts w:cs="Calibri"/>
          <w:sz w:val="24"/>
          <w:szCs w:val="24"/>
          <w:lang w:val="es-CO"/>
        </w:rPr>
        <w:t xml:space="preserve">Bing. (2023). </w:t>
      </w:r>
      <w:r>
        <w:rPr>
          <w:rFonts w:cs="Calibri"/>
          <w:i/>
          <w:iCs/>
          <w:sz w:val="24"/>
          <w:szCs w:val="24"/>
          <w:lang w:val="es-CO"/>
        </w:rPr>
        <w:t>Protección y control de cauces</w:t>
      </w:r>
      <w:r>
        <w:rPr>
          <w:rFonts w:cs="Calibri"/>
          <w:sz w:val="24"/>
          <w:szCs w:val="24"/>
          <w:lang w:val="es-CO"/>
        </w:rPr>
        <w:t xml:space="preserve">. Recuperado de </w:t>
      </w:r>
      <w:hyperlink r:id="rId35">
        <w:r w:rsidR="00527B8C">
          <w:rPr>
            <w:rStyle w:val="Hipervnculo"/>
            <w:rFonts w:cs="Calibri"/>
            <w:sz w:val="24"/>
            <w:szCs w:val="24"/>
            <w:lang w:val="es-CO"/>
          </w:rPr>
          <w:t>https://bing.com/search?q=estabilizaci%c3%b3n+de+cauces+fluviales+por+sedimentos+y+agregados</w:t>
        </w:r>
      </w:hyperlink>
      <w:r>
        <w:rPr>
          <w:rFonts w:cs="Calibri"/>
          <w:sz w:val="24"/>
          <w:szCs w:val="24"/>
          <w:lang w:val="es-CO"/>
        </w:rPr>
        <w:t xml:space="preserve"> </w:t>
      </w:r>
    </w:p>
    <w:p w:rsidRPr="007D47D4" w:rsidR="00527B8C" w:rsidP="008B0F6E" w:rsidRDefault="00212A57" w14:paraId="386EB55A" w14:textId="77777777">
      <w:pPr>
        <w:spacing w:after="384" w:afterLines="160"/>
        <w:ind w:left="302" w:hanging="302" w:hangingChars="126"/>
        <w:jc w:val="both"/>
        <w:rPr>
          <w:rFonts w:cs="Calibri"/>
          <w:sz w:val="24"/>
          <w:szCs w:val="24"/>
          <w:lang w:val="es-CO"/>
        </w:rPr>
      </w:pPr>
      <w:r>
        <w:rPr>
          <w:rFonts w:cs="Calibri"/>
          <w:sz w:val="24"/>
          <w:szCs w:val="24"/>
          <w:lang w:val="es-CO"/>
        </w:rPr>
        <w:t xml:space="preserve">Castello, L., &amp; Macedo, M. N. (2016). </w:t>
      </w:r>
      <w:r>
        <w:rPr>
          <w:rFonts w:cs="Calibri"/>
          <w:sz w:val="24"/>
          <w:szCs w:val="24"/>
          <w:lang w:val="en-US"/>
        </w:rPr>
        <w:t xml:space="preserve">Large-scale degradation of Amazonian freshwater ecosystems. </w:t>
      </w:r>
      <w:r w:rsidRPr="007D47D4">
        <w:rPr>
          <w:rFonts w:cs="Calibri"/>
          <w:sz w:val="24"/>
          <w:szCs w:val="24"/>
          <w:lang w:val="es-CO"/>
        </w:rPr>
        <w:t xml:space="preserve">Global Change Biology, 22(3), 990-1007. https://doi.org/10.1111/gcb.13173 </w:t>
      </w:r>
    </w:p>
    <w:p w:rsidRPr="007D47D4" w:rsidR="00527B8C" w:rsidP="008B0F6E" w:rsidRDefault="00527B8C" w14:paraId="0A3014FE" w14:textId="77777777">
      <w:pPr>
        <w:spacing w:after="384" w:afterLines="160"/>
        <w:ind w:left="302" w:hanging="302" w:hangingChars="126"/>
        <w:jc w:val="both"/>
        <w:rPr>
          <w:rFonts w:cs="Calibri"/>
          <w:sz w:val="24"/>
          <w:szCs w:val="24"/>
          <w:lang w:val="es-CO"/>
        </w:rPr>
      </w:pPr>
    </w:p>
    <w:p w:rsidR="00F30814" w:rsidP="008B0F6E" w:rsidRDefault="00F30814" w14:paraId="6C159452" w14:textId="7726CFB5">
      <w:pPr>
        <w:spacing w:after="384" w:afterLines="160"/>
        <w:ind w:left="284" w:hanging="284"/>
        <w:rPr>
          <w:rFonts w:cs="Calibri"/>
          <w:sz w:val="24"/>
          <w:szCs w:val="24"/>
          <w:lang w:val="es-CO"/>
        </w:rPr>
      </w:pPr>
      <w:r w:rsidRPr="00F30814">
        <w:rPr>
          <w:rFonts w:cs="Calibri"/>
          <w:sz w:val="24"/>
          <w:szCs w:val="24"/>
          <w:lang w:val="es-CO"/>
        </w:rPr>
        <w:t xml:space="preserve">CONPES 3610 (2009) – Endeudamiento externo Variante S.F.–Mocoa: </w:t>
      </w:r>
      <w:hyperlink w:history="1" r:id="rId36">
        <w:r w:rsidRPr="006C6571">
          <w:rPr>
            <w:rStyle w:val="Hipervnculo"/>
            <w:rFonts w:cs="Calibri"/>
            <w:sz w:val="24"/>
            <w:szCs w:val="24"/>
            <w:lang w:val="es-CO"/>
          </w:rPr>
          <w:t>https://www.ani.gov.co/sites/default/files/documento_conpes_3610_concepto_favorable_para_endeudamiento_externo_par_la_construcion_de_variante_san_francisco_mocoa.pdf</w:t>
        </w:r>
      </w:hyperlink>
    </w:p>
    <w:p w:rsidR="00F30814" w:rsidP="008B0F6E" w:rsidRDefault="00F30814" w14:paraId="12E7F917" w14:textId="396C992D">
      <w:pPr>
        <w:spacing w:after="384" w:afterLines="160"/>
        <w:ind w:left="284" w:hanging="284"/>
        <w:rPr>
          <w:rFonts w:cs="Calibri"/>
          <w:sz w:val="24"/>
          <w:szCs w:val="24"/>
          <w:lang w:val="es-CO"/>
        </w:rPr>
      </w:pPr>
      <w:r w:rsidRPr="00F30814">
        <w:rPr>
          <w:rFonts w:cs="Calibri"/>
          <w:sz w:val="24"/>
          <w:szCs w:val="24"/>
          <w:lang w:val="es-CO"/>
        </w:rPr>
        <w:t xml:space="preserve">CONPES 4010 (2020) – Vías para la Legalidad y Reactivación: </w:t>
      </w:r>
      <w:hyperlink w:history="1" r:id="rId37">
        <w:r w:rsidRPr="006C6571" w:rsidR="00272ED8">
          <w:rPr>
            <w:rStyle w:val="Hipervnculo"/>
            <w:rFonts w:cs="Calibri"/>
            <w:sz w:val="24"/>
            <w:szCs w:val="24"/>
            <w:lang w:val="es-CO"/>
          </w:rPr>
          <w:t>https://www.invias.gov.co/especiales/curos-malaga/docs/conpes/conpes_4010_301120.pdf</w:t>
        </w:r>
      </w:hyperlink>
    </w:p>
    <w:p w:rsidRPr="00272ED8" w:rsidR="00272ED8" w:rsidP="008B0F6E" w:rsidRDefault="00272ED8" w14:paraId="4E4D83F6" w14:textId="62623C48">
      <w:pPr>
        <w:spacing w:after="384" w:afterLines="160"/>
        <w:ind w:left="284" w:hanging="284"/>
        <w:rPr>
          <w:rFonts w:cs="Calibri"/>
          <w:sz w:val="24"/>
          <w:szCs w:val="24"/>
          <w:lang w:val="es-CO"/>
        </w:rPr>
      </w:pPr>
      <w:r w:rsidRPr="00272ED8">
        <w:rPr>
          <w:rFonts w:cs="Calibri"/>
          <w:sz w:val="24"/>
          <w:szCs w:val="24"/>
          <w:lang w:val="es-CO"/>
        </w:rPr>
        <w:t>CONPES 3609 (2009) – Desarrollo vial del Sur de Colombia: https://colaboracion.dnp.gov.co/CDT/CONPES/Econ%C3%B3micos/3609.pdf</w:t>
      </w:r>
    </w:p>
    <w:p w:rsidR="00527B8C" w:rsidP="008B0F6E" w:rsidRDefault="00212A57" w14:paraId="71A1F8D6" w14:textId="77777777">
      <w:pPr>
        <w:spacing w:after="384" w:afterLines="160"/>
        <w:ind w:left="302" w:hanging="302" w:hangingChars="126"/>
        <w:jc w:val="both"/>
        <w:rPr>
          <w:rFonts w:cs="Calibri"/>
          <w:sz w:val="24"/>
          <w:szCs w:val="24"/>
          <w:lang w:val="es-CO"/>
        </w:rPr>
      </w:pPr>
      <w:r w:rsidRPr="007D47D4">
        <w:rPr>
          <w:rFonts w:cs="Calibri"/>
          <w:sz w:val="24"/>
          <w:szCs w:val="24"/>
          <w:lang w:val="es-CO"/>
        </w:rPr>
        <w:t xml:space="preserve">Cossio, H. J. (2020). </w:t>
      </w:r>
      <w:r>
        <w:rPr>
          <w:rFonts w:cs="Calibri"/>
          <w:i/>
          <w:iCs/>
          <w:sz w:val="24"/>
          <w:szCs w:val="24"/>
          <w:lang w:val="es-CO"/>
        </w:rPr>
        <w:t>Clasificación granulométrica y propiedades del suelo</w:t>
      </w:r>
      <w:r>
        <w:rPr>
          <w:rFonts w:cs="Calibri"/>
          <w:sz w:val="24"/>
          <w:szCs w:val="24"/>
          <w:lang w:val="es-CO"/>
        </w:rPr>
        <w:t xml:space="preserve">. Universidad de las Américas Puebla. Recuperado de </w:t>
      </w:r>
      <w:hyperlink r:id="rId38">
        <w:r w:rsidR="00527B8C">
          <w:rPr>
            <w:rStyle w:val="Hipervnculo"/>
            <w:rFonts w:cs="Calibri"/>
            <w:sz w:val="24"/>
            <w:szCs w:val="24"/>
            <w:lang w:val="es-CO"/>
          </w:rPr>
          <w:t>https://catarina.udlap.mx/u_dl_a/tales/documentos/lic/cossio_c_hj/capitulo5.pdf</w:t>
        </w:r>
      </w:hyperlink>
      <w:r>
        <w:rPr>
          <w:rFonts w:cs="Calibri"/>
          <w:sz w:val="24"/>
          <w:szCs w:val="24"/>
          <w:lang w:val="es-CO"/>
        </w:rPr>
        <w:t xml:space="preserve"> </w:t>
      </w:r>
    </w:p>
    <w:p w:rsidR="00527B8C" w:rsidP="008B0F6E" w:rsidRDefault="00212A57" w14:paraId="7D491274" w14:textId="77777777">
      <w:pPr>
        <w:spacing w:after="384" w:afterLines="160"/>
        <w:ind w:left="302" w:hanging="302" w:hangingChars="126"/>
        <w:jc w:val="both"/>
        <w:rPr>
          <w:rFonts w:cs="Calibri"/>
          <w:sz w:val="24"/>
          <w:szCs w:val="24"/>
          <w:lang w:val="es-CO"/>
        </w:rPr>
      </w:pPr>
      <w:r>
        <w:rPr>
          <w:rFonts w:cs="Calibri"/>
          <w:sz w:val="24"/>
          <w:szCs w:val="24"/>
          <w:lang w:val="es-CO"/>
        </w:rPr>
        <w:t xml:space="preserve">Cuenca Putumayo-Içá. (2023). </w:t>
      </w:r>
      <w:r>
        <w:rPr>
          <w:rFonts w:cs="Calibri"/>
          <w:i/>
          <w:iCs/>
          <w:sz w:val="24"/>
          <w:szCs w:val="24"/>
          <w:lang w:val="es-CO"/>
        </w:rPr>
        <w:t>Impactos minería ilegal en Putumayo-Içá</w:t>
      </w:r>
      <w:r>
        <w:rPr>
          <w:rFonts w:cs="Calibri"/>
          <w:sz w:val="24"/>
          <w:szCs w:val="24"/>
          <w:lang w:val="es-CO"/>
        </w:rPr>
        <w:t xml:space="preserve">. Recuperado de </w:t>
      </w:r>
      <w:hyperlink r:id="rId39">
        <w:r w:rsidR="00527B8C">
          <w:rPr>
            <w:rStyle w:val="Hipervnculo"/>
            <w:rFonts w:cs="Calibri"/>
            <w:sz w:val="24"/>
            <w:szCs w:val="24"/>
            <w:lang w:val="es-CO"/>
          </w:rPr>
          <w:t>https://cuencaputumayoica.com/la-mineria-ilegal-en-la-cuenca-putumayo-ica-impactos-y-desafios-para-la-conservacion/</w:t>
        </w:r>
      </w:hyperlink>
      <w:r>
        <w:rPr>
          <w:rFonts w:cs="Calibri"/>
          <w:sz w:val="24"/>
          <w:szCs w:val="24"/>
          <w:lang w:val="es-CO"/>
        </w:rPr>
        <w:t xml:space="preserve"> </w:t>
      </w:r>
    </w:p>
    <w:p w:rsidR="00527B8C" w:rsidP="008B0F6E" w:rsidRDefault="00212A57" w14:paraId="35FCC1DB" w14:textId="77777777">
      <w:pPr>
        <w:spacing w:after="384" w:afterLines="160"/>
        <w:ind w:left="302" w:hanging="302" w:hangingChars="126"/>
        <w:jc w:val="both"/>
        <w:rPr>
          <w:rFonts w:cs="Calibri"/>
          <w:sz w:val="24"/>
          <w:szCs w:val="24"/>
          <w:lang w:val="es-CO"/>
        </w:rPr>
      </w:pPr>
      <w:r>
        <w:rPr>
          <w:rFonts w:cs="Calibri"/>
          <w:sz w:val="24"/>
          <w:szCs w:val="24"/>
          <w:lang w:val="es-CO"/>
        </w:rPr>
        <w:t xml:space="preserve">Club Ensayos. (2022). </w:t>
      </w:r>
      <w:r>
        <w:rPr>
          <w:rFonts w:cs="Calibri"/>
          <w:i/>
          <w:iCs/>
          <w:sz w:val="24"/>
          <w:szCs w:val="24"/>
          <w:lang w:val="es-CO"/>
        </w:rPr>
        <w:t>Informe cuenca Río Caquetá</w:t>
      </w:r>
      <w:r>
        <w:rPr>
          <w:rFonts w:cs="Calibri"/>
          <w:sz w:val="24"/>
          <w:szCs w:val="24"/>
          <w:lang w:val="es-CO"/>
        </w:rPr>
        <w:t xml:space="preserve">. Recuperado de </w:t>
      </w:r>
      <w:hyperlink r:id="rId40">
        <w:r w:rsidR="00527B8C">
          <w:rPr>
            <w:rStyle w:val="Hipervnculo"/>
            <w:rFonts w:cs="Calibri"/>
            <w:sz w:val="24"/>
            <w:szCs w:val="24"/>
            <w:lang w:val="es-CO"/>
          </w:rPr>
          <w:t>https://www.clubensayos.com/Informes-de-Libros/INFORME-CUENCA-RIO-CAQUETA/3832049.html</w:t>
        </w:r>
      </w:hyperlink>
    </w:p>
    <w:p w:rsidR="00527B8C" w:rsidP="008B0F6E" w:rsidRDefault="00212A57" w14:paraId="3CA5B96A" w14:textId="77777777">
      <w:pPr>
        <w:spacing w:after="384" w:afterLines="160"/>
        <w:ind w:left="302" w:hanging="302" w:hangingChars="126"/>
        <w:jc w:val="both"/>
        <w:rPr>
          <w:rFonts w:cs="Calibri"/>
          <w:sz w:val="24"/>
          <w:szCs w:val="24"/>
          <w:lang w:val="es-CO"/>
        </w:rPr>
      </w:pPr>
      <w:r>
        <w:rPr>
          <w:rFonts w:cs="Calibri"/>
          <w:sz w:val="24"/>
          <w:szCs w:val="24"/>
          <w:lang w:val="es-CO"/>
        </w:rPr>
        <w:t xml:space="preserve">Departamento Nacional de Planeación (DNP) &amp; Autoridad Nacional de Licencias Ambientales (ANLA). (2025). </w:t>
      </w:r>
      <w:r>
        <w:rPr>
          <w:rFonts w:cs="Calibri"/>
          <w:i/>
          <w:iCs/>
          <w:sz w:val="24"/>
          <w:szCs w:val="24"/>
          <w:lang w:val="es-CO"/>
        </w:rPr>
        <w:t>CONPES 4174: Declaración de importancia estratégica del proyecto de inversión BPIN 202500000022983</w:t>
      </w:r>
      <w:r>
        <w:rPr>
          <w:rFonts w:cs="Calibri"/>
          <w:sz w:val="24"/>
          <w:szCs w:val="24"/>
          <w:lang w:val="es-CO"/>
        </w:rPr>
        <w:t xml:space="preserve">. Recuperado de </w:t>
      </w:r>
      <w:hyperlink r:id="rId41">
        <w:r w:rsidR="00527B8C">
          <w:rPr>
            <w:rStyle w:val="Hipervnculo"/>
            <w:rFonts w:cs="Calibri"/>
            <w:sz w:val="24"/>
            <w:szCs w:val="24"/>
            <w:lang w:val="es-CO"/>
          </w:rPr>
          <w:t>https://dnp.gov.co</w:t>
        </w:r>
      </w:hyperlink>
      <w:r>
        <w:rPr>
          <w:rFonts w:cs="Calibri"/>
          <w:sz w:val="24"/>
          <w:szCs w:val="24"/>
          <w:lang w:val="es-CO"/>
        </w:rPr>
        <w:t xml:space="preserve"> y </w:t>
      </w:r>
      <w:hyperlink r:id="rId42">
        <w:r w:rsidR="00527B8C">
          <w:rPr>
            <w:rStyle w:val="Hipervnculo"/>
            <w:rFonts w:cs="Calibri"/>
            <w:sz w:val="24"/>
            <w:szCs w:val="24"/>
            <w:lang w:val="es-CO"/>
          </w:rPr>
          <w:t>https://anla.gov.co</w:t>
        </w:r>
      </w:hyperlink>
      <w:r>
        <w:rPr>
          <w:rFonts w:cs="Calibri"/>
          <w:sz w:val="24"/>
          <w:szCs w:val="24"/>
          <w:lang w:val="es-CO"/>
        </w:rPr>
        <w:t xml:space="preserve"> </w:t>
      </w:r>
    </w:p>
    <w:p w:rsidR="00527B8C" w:rsidP="008B0F6E" w:rsidRDefault="00212A57" w14:paraId="3CC6DC98" w14:textId="77777777">
      <w:pPr>
        <w:spacing w:after="384" w:afterLines="160"/>
        <w:ind w:left="302" w:hanging="302" w:hangingChars="126"/>
        <w:jc w:val="both"/>
        <w:rPr>
          <w:rFonts w:cs="Calibri"/>
          <w:sz w:val="24"/>
          <w:szCs w:val="24"/>
          <w:lang w:val="es-CO"/>
        </w:rPr>
      </w:pPr>
      <w:r>
        <w:rPr>
          <w:rFonts w:cs="Calibri"/>
          <w:sz w:val="24"/>
          <w:szCs w:val="24"/>
          <w:lang w:val="es-CO"/>
        </w:rPr>
        <w:t xml:space="preserve">Dialnet. (2021). </w:t>
      </w:r>
      <w:r>
        <w:rPr>
          <w:rFonts w:cs="Calibri"/>
          <w:i/>
          <w:iCs/>
          <w:sz w:val="24"/>
          <w:szCs w:val="24"/>
          <w:lang w:val="es-CO"/>
        </w:rPr>
        <w:t>Dinámica morfosedimentaria y biodiversidad</w:t>
      </w:r>
      <w:r>
        <w:rPr>
          <w:rFonts w:cs="Calibri"/>
          <w:sz w:val="24"/>
          <w:szCs w:val="24"/>
          <w:lang w:val="es-CO"/>
        </w:rPr>
        <w:t xml:space="preserve">. Recuperado de </w:t>
      </w:r>
      <w:hyperlink r:id="rId43">
        <w:r w:rsidR="00527B8C">
          <w:rPr>
            <w:rStyle w:val="Hipervnculo"/>
            <w:rFonts w:cs="Calibri"/>
            <w:sz w:val="24"/>
            <w:szCs w:val="24"/>
            <w:lang w:val="es-CO"/>
          </w:rPr>
          <w:t>https://dialnet.unirioja.es/descarga/articulo/8261815.pdf</w:t>
        </w:r>
      </w:hyperlink>
      <w:r>
        <w:rPr>
          <w:rFonts w:cs="Calibri"/>
          <w:sz w:val="24"/>
          <w:szCs w:val="24"/>
          <w:lang w:val="es-CO"/>
        </w:rPr>
        <w:t xml:space="preserve"> </w:t>
      </w:r>
    </w:p>
    <w:p w:rsidR="00527B8C" w:rsidP="008B0F6E" w:rsidRDefault="00212A57" w14:paraId="6A6D2D09" w14:textId="77777777">
      <w:pPr>
        <w:spacing w:after="384" w:afterLines="160"/>
        <w:ind w:left="302" w:hanging="302" w:hangingChars="126"/>
        <w:jc w:val="both"/>
        <w:rPr>
          <w:rFonts w:cs="Calibri"/>
          <w:sz w:val="24"/>
          <w:szCs w:val="24"/>
          <w:lang w:val="es-CO"/>
        </w:rPr>
      </w:pPr>
      <w:r>
        <w:rPr>
          <w:rFonts w:cs="Calibri"/>
          <w:sz w:val="24"/>
          <w:szCs w:val="24"/>
          <w:lang w:val="es-CO"/>
        </w:rPr>
        <w:t xml:space="preserve">Diario Noticias. (2022). </w:t>
      </w:r>
      <w:r>
        <w:rPr>
          <w:rFonts w:cs="Calibri"/>
          <w:i/>
          <w:iCs/>
          <w:sz w:val="24"/>
          <w:szCs w:val="24"/>
          <w:lang w:val="es-CO"/>
        </w:rPr>
        <w:t>Relación entre ríos y biodiversidad</w:t>
      </w:r>
      <w:r>
        <w:rPr>
          <w:rFonts w:cs="Calibri"/>
          <w:sz w:val="24"/>
          <w:szCs w:val="24"/>
          <w:lang w:val="es-CO"/>
        </w:rPr>
        <w:t xml:space="preserve">. Recuperado de </w:t>
      </w:r>
      <w:hyperlink r:id="rId44">
        <w:r w:rsidR="00527B8C">
          <w:rPr>
            <w:rStyle w:val="Hipervnculo"/>
            <w:rFonts w:cs="Calibri"/>
            <w:sz w:val="24"/>
            <w:szCs w:val="24"/>
            <w:lang w:val="es-CO"/>
          </w:rPr>
          <w:t>https://diarionoticias.pe/ecosistemas/ecosistemas-fluviales-la-relacion-entre-los-rios-y-la-biodiversidad/</w:t>
        </w:r>
      </w:hyperlink>
      <w:r>
        <w:rPr>
          <w:rFonts w:cs="Calibri"/>
          <w:sz w:val="24"/>
          <w:szCs w:val="24"/>
          <w:lang w:val="es-CO"/>
        </w:rPr>
        <w:t xml:space="preserve"> </w:t>
      </w:r>
    </w:p>
    <w:p w:rsidRPr="00272ED8" w:rsidR="00272ED8" w:rsidP="008B0F6E" w:rsidRDefault="00272ED8" w14:paraId="0ED1D950" w14:textId="238A8FA8">
      <w:pPr>
        <w:spacing w:after="384" w:afterLines="160"/>
        <w:ind w:left="302" w:hanging="302" w:hangingChars="126"/>
        <w:jc w:val="both"/>
        <w:rPr>
          <w:rFonts w:cs="Calibri"/>
          <w:sz w:val="24"/>
          <w:szCs w:val="24"/>
          <w:lang w:val="es-CO"/>
        </w:rPr>
      </w:pPr>
      <w:r w:rsidRPr="00272ED8">
        <w:rPr>
          <w:rFonts w:cs="Calibri"/>
          <w:sz w:val="24"/>
          <w:szCs w:val="24"/>
          <w:lang w:val="es-CO"/>
        </w:rPr>
        <w:t>El Tiempo – Marginal de la Selva (07/02/2016): https://www.eltiempo.com/archivo/documento/CMS-16503604</w:t>
      </w:r>
    </w:p>
    <w:p w:rsidR="00527B8C" w:rsidP="008B0F6E" w:rsidRDefault="00527B8C" w14:paraId="7965B22B" w14:textId="77777777">
      <w:pPr>
        <w:spacing w:after="384" w:afterLines="160"/>
        <w:ind w:left="302" w:hanging="302" w:hangingChars="126"/>
        <w:jc w:val="both"/>
        <w:rPr>
          <w:rFonts w:cs="Calibri"/>
          <w:sz w:val="24"/>
          <w:szCs w:val="24"/>
          <w:lang w:val="es-CO"/>
        </w:rPr>
      </w:pPr>
    </w:p>
    <w:p w:rsidR="00527B8C" w:rsidP="008B0F6E" w:rsidRDefault="00212A57" w14:paraId="4D711E25" w14:textId="77777777">
      <w:pPr>
        <w:spacing w:after="384" w:afterLines="160"/>
        <w:ind w:left="302" w:hanging="302" w:hangingChars="126"/>
        <w:jc w:val="both"/>
        <w:rPr>
          <w:rFonts w:cs="Calibri"/>
          <w:sz w:val="24"/>
          <w:szCs w:val="24"/>
          <w:lang w:val="es-CO"/>
        </w:rPr>
      </w:pPr>
      <w:r>
        <w:rPr>
          <w:rFonts w:cs="Calibri"/>
          <w:sz w:val="24"/>
          <w:szCs w:val="24"/>
          <w:lang w:val="es-CO"/>
        </w:rPr>
        <w:t xml:space="preserve">Estudio Ambiental. (2023). </w:t>
      </w:r>
      <w:r>
        <w:rPr>
          <w:rFonts w:cs="Calibri"/>
          <w:i/>
          <w:iCs/>
          <w:sz w:val="24"/>
          <w:szCs w:val="24"/>
          <w:lang w:val="es-CO"/>
        </w:rPr>
        <w:t>Acerca de la Guía Buenas Prácticas Materiales de Arrastre</w:t>
      </w:r>
      <w:r>
        <w:rPr>
          <w:rFonts w:cs="Calibri"/>
          <w:sz w:val="24"/>
          <w:szCs w:val="24"/>
          <w:lang w:val="es-CO"/>
        </w:rPr>
        <w:t xml:space="preserve">. Recuperado de </w:t>
      </w:r>
      <w:hyperlink r:id="rId45">
        <w:r w:rsidR="00527B8C">
          <w:rPr>
            <w:rStyle w:val="Hipervnculo"/>
            <w:rFonts w:cs="Calibri"/>
            <w:sz w:val="24"/>
            <w:szCs w:val="24"/>
            <w:lang w:val="es-CO"/>
          </w:rPr>
          <w:t>https://estudioiambiental.com/mineria/acerca-de-la-guia-buenas-practicas-materiales-de-arrastre/</w:t>
        </w:r>
      </w:hyperlink>
    </w:p>
    <w:p w:rsidR="00527B8C" w:rsidP="008B0F6E" w:rsidRDefault="00212A57" w14:paraId="6127BEE4" w14:textId="77777777">
      <w:pPr>
        <w:spacing w:after="384" w:afterLines="160"/>
        <w:ind w:left="302" w:hanging="302" w:hangingChars="126"/>
        <w:jc w:val="both"/>
        <w:rPr>
          <w:rFonts w:cs="Calibri"/>
          <w:sz w:val="24"/>
          <w:szCs w:val="24"/>
          <w:lang w:val="es-CO"/>
        </w:rPr>
      </w:pPr>
      <w:r>
        <w:rPr>
          <w:rFonts w:cs="Calibri"/>
          <w:sz w:val="24"/>
          <w:szCs w:val="24"/>
          <w:lang w:val="en-US"/>
        </w:rPr>
        <w:t xml:space="preserve">Finer, M., &amp; Jenkins, C. N. (2012). Proliferation of hydroelectric dams in the Andean Amazon and implications for Andes-Amazon connectivity. </w:t>
      </w:r>
      <w:r>
        <w:rPr>
          <w:rFonts w:cs="Calibri"/>
          <w:sz w:val="24"/>
          <w:szCs w:val="24"/>
          <w:lang w:val="es-CO"/>
        </w:rPr>
        <w:t xml:space="preserve">PLoS ONE, 7(4), e35126. https://doi.org/10.1371/journal.pone.0035126 </w:t>
      </w:r>
    </w:p>
    <w:p w:rsidRPr="00BD7923" w:rsidR="00BD7923" w:rsidP="008B0F6E" w:rsidRDefault="00BD7923" w14:paraId="1BB46E7A" w14:textId="73FEF82A">
      <w:pPr>
        <w:spacing w:after="384" w:afterLines="160"/>
        <w:ind w:left="302" w:hanging="302" w:hangingChars="126"/>
        <w:jc w:val="both"/>
        <w:rPr>
          <w:rFonts w:cs="Calibri"/>
          <w:sz w:val="24"/>
          <w:szCs w:val="24"/>
          <w:lang w:val="es-CO"/>
        </w:rPr>
      </w:pPr>
      <w:r w:rsidRPr="00BD7923">
        <w:rPr>
          <w:rFonts w:cs="Calibri"/>
          <w:sz w:val="24"/>
          <w:szCs w:val="24"/>
          <w:lang w:val="es-CO"/>
        </w:rPr>
        <w:t xml:space="preserve">Fundación Gaia Amazonas. (s. f.). Amazonia colombiana. Recuperado el 11 de diciembre de 2025, de </w:t>
      </w:r>
      <w:hyperlink r:id="rId46">
        <w:r w:rsidRPr="00BD7923">
          <w:rPr>
            <w:rFonts w:cs="Calibri"/>
            <w:sz w:val="24"/>
            <w:szCs w:val="24"/>
          </w:rPr>
          <w:t>https://gaiaamazonas.org/amazonia-colombiana/</w:t>
        </w:r>
      </w:hyperlink>
    </w:p>
    <w:p w:rsidR="00527B8C" w:rsidP="008B0F6E" w:rsidRDefault="00212A57" w14:paraId="5BD09FCD" w14:textId="77777777">
      <w:pPr>
        <w:spacing w:after="384" w:afterLines="160"/>
        <w:ind w:left="302" w:hanging="302" w:hangingChars="126"/>
        <w:jc w:val="both"/>
        <w:rPr>
          <w:rFonts w:cs="Calibri"/>
          <w:sz w:val="24"/>
          <w:szCs w:val="24"/>
          <w:lang w:val="es-CO"/>
        </w:rPr>
      </w:pPr>
      <w:r>
        <w:rPr>
          <w:rFonts w:cs="Calibri"/>
          <w:sz w:val="24"/>
          <w:szCs w:val="24"/>
          <w:lang w:val="es-CO"/>
        </w:rPr>
        <w:t xml:space="preserve">Fundación Nueva Cultura del Agua (FNCA). (2022). </w:t>
      </w:r>
      <w:r>
        <w:rPr>
          <w:rFonts w:cs="Calibri"/>
          <w:i/>
          <w:iCs/>
          <w:sz w:val="24"/>
          <w:szCs w:val="24"/>
          <w:lang w:val="es-CO"/>
        </w:rPr>
        <w:t>Gestión de sedimentos y riesgos ecológicos</w:t>
      </w:r>
      <w:r>
        <w:rPr>
          <w:rFonts w:cs="Calibri"/>
          <w:sz w:val="24"/>
          <w:szCs w:val="24"/>
          <w:lang w:val="es-CO"/>
        </w:rPr>
        <w:t xml:space="preserve">. Recuperado de </w:t>
      </w:r>
      <w:hyperlink r:id="rId47">
        <w:r w:rsidR="00527B8C">
          <w:rPr>
            <w:rStyle w:val="Hipervnculo"/>
            <w:rFonts w:cs="Calibri"/>
            <w:sz w:val="24"/>
            <w:szCs w:val="24"/>
            <w:lang w:val="es-CO"/>
          </w:rPr>
          <w:t>https://fnca.eu/guia-nueva-cultura-del-agua/areas/agua-y-ecosistemas/178-sedimentos-fluviales-los-olvidados</w:t>
        </w:r>
      </w:hyperlink>
      <w:r>
        <w:rPr>
          <w:rFonts w:cs="Calibri"/>
          <w:sz w:val="24"/>
          <w:szCs w:val="24"/>
          <w:lang w:val="es-CO"/>
        </w:rPr>
        <w:t xml:space="preserve"> </w:t>
      </w:r>
    </w:p>
    <w:p w:rsidR="00527B8C" w:rsidP="008B0F6E" w:rsidRDefault="00212A57" w14:paraId="3368FA74" w14:textId="77777777">
      <w:pPr>
        <w:spacing w:after="384" w:afterLines="160"/>
        <w:ind w:left="302" w:hanging="302" w:hangingChars="126"/>
        <w:jc w:val="both"/>
        <w:rPr>
          <w:rFonts w:cs="Calibri"/>
          <w:sz w:val="24"/>
          <w:szCs w:val="24"/>
          <w:lang w:val="es"/>
        </w:rPr>
      </w:pPr>
      <w:r>
        <w:rPr>
          <w:rFonts w:cs="Calibri"/>
          <w:sz w:val="24"/>
          <w:szCs w:val="24"/>
          <w:lang w:val="es"/>
        </w:rPr>
        <w:t xml:space="preserve">Herrera, Isis. 2021. Evaluación de los pasivos ambientales generados por explotación de material de arrastre en el municipio de Morroa departamento de Sucre. Universidad de Manizales. En: </w:t>
      </w:r>
      <w:hyperlink r:id="rId48">
        <w:r w:rsidR="00527B8C">
          <w:rPr>
            <w:rStyle w:val="Hipervnculo"/>
            <w:rFonts w:cs="Calibri"/>
            <w:color w:val="0563C1"/>
            <w:sz w:val="24"/>
            <w:szCs w:val="24"/>
            <w:lang w:val="es"/>
          </w:rPr>
          <w:t>https://ridum.umanizales.edu.co/server/api/core/bitstreams/1d707fdb-351d-424f-940b-fe728b374a84/content</w:t>
        </w:r>
      </w:hyperlink>
    </w:p>
    <w:p w:rsidR="00527B8C" w:rsidP="008B0F6E" w:rsidRDefault="00212A57" w14:paraId="5D5D03CA" w14:textId="77777777">
      <w:pPr>
        <w:spacing w:after="384" w:afterLines="160"/>
        <w:ind w:left="302" w:hanging="302" w:hangingChars="126"/>
        <w:jc w:val="both"/>
        <w:rPr>
          <w:rFonts w:cs="Calibri"/>
          <w:sz w:val="24"/>
          <w:szCs w:val="24"/>
          <w:lang w:val="es-CO"/>
        </w:rPr>
      </w:pPr>
      <w:r>
        <w:rPr>
          <w:rFonts w:cs="Calibri"/>
          <w:sz w:val="24"/>
          <w:szCs w:val="24"/>
          <w:lang w:val="es-CO"/>
        </w:rPr>
        <w:t xml:space="preserve">Instituto Amazónico de Investigaciones Científicas SINCHI; Defensoría del Pueblo; Fundación para la Conservación y el Desarrollo Sostenible (FCDS). (s.f.). </w:t>
      </w:r>
      <w:r>
        <w:rPr>
          <w:rFonts w:cs="Calibri"/>
          <w:i/>
          <w:iCs/>
          <w:sz w:val="24"/>
          <w:szCs w:val="24"/>
          <w:lang w:val="es-CO"/>
        </w:rPr>
        <w:t>Impactos y conflictividad socioambiental en la Amazonia colombiana</w:t>
      </w:r>
      <w:r>
        <w:rPr>
          <w:rFonts w:cs="Calibri"/>
          <w:sz w:val="24"/>
          <w:szCs w:val="24"/>
          <w:lang w:val="es-CO"/>
        </w:rPr>
        <w:t xml:space="preserve">. Recuperado de </w:t>
      </w:r>
      <w:hyperlink r:id="rId49">
        <w:r w:rsidR="00527B8C">
          <w:rPr>
            <w:rStyle w:val="Hipervnculo"/>
            <w:rFonts w:cs="Calibri"/>
            <w:sz w:val="24"/>
            <w:szCs w:val="24"/>
            <w:lang w:val="es-CO"/>
          </w:rPr>
          <w:t>https://sinchi.org.co</w:t>
        </w:r>
      </w:hyperlink>
      <w:r>
        <w:rPr>
          <w:rFonts w:cs="Calibri"/>
          <w:sz w:val="24"/>
          <w:szCs w:val="24"/>
          <w:lang w:val="es-CO"/>
        </w:rPr>
        <w:t xml:space="preserve">, </w:t>
      </w:r>
      <w:hyperlink r:id="rId50">
        <w:r w:rsidR="00527B8C">
          <w:rPr>
            <w:rStyle w:val="Hipervnculo"/>
            <w:rFonts w:cs="Calibri"/>
            <w:sz w:val="24"/>
            <w:szCs w:val="24"/>
            <w:lang w:val="es-CO"/>
          </w:rPr>
          <w:t>https://minsus.net</w:t>
        </w:r>
      </w:hyperlink>
      <w:r>
        <w:rPr>
          <w:rFonts w:cs="Calibri"/>
          <w:sz w:val="24"/>
          <w:szCs w:val="24"/>
          <w:lang w:val="es-CO"/>
        </w:rPr>
        <w:t xml:space="preserve"> y </w:t>
      </w:r>
      <w:hyperlink r:id="rId51">
        <w:r w:rsidR="00527B8C">
          <w:rPr>
            <w:rStyle w:val="Hipervnculo"/>
            <w:rFonts w:cs="Calibri"/>
            <w:sz w:val="24"/>
            <w:szCs w:val="24"/>
            <w:lang w:val="es-CO"/>
          </w:rPr>
          <w:t>https://observatorioamazonia.fcds.org.co</w:t>
        </w:r>
      </w:hyperlink>
      <w:r>
        <w:rPr>
          <w:rFonts w:cs="Calibri"/>
          <w:sz w:val="24"/>
          <w:szCs w:val="24"/>
          <w:lang w:val="es-CO"/>
        </w:rPr>
        <w:t xml:space="preserve"> </w:t>
      </w:r>
    </w:p>
    <w:p w:rsidR="00527B8C" w:rsidP="008B0F6E" w:rsidRDefault="00212A57" w14:paraId="54673971" w14:textId="77777777">
      <w:pPr>
        <w:spacing w:after="384" w:afterLines="160"/>
        <w:ind w:left="302" w:hanging="302" w:hangingChars="126"/>
        <w:jc w:val="both"/>
        <w:rPr>
          <w:rFonts w:cs="Calibri"/>
          <w:sz w:val="24"/>
          <w:szCs w:val="24"/>
          <w:lang w:val="es-CO"/>
        </w:rPr>
      </w:pPr>
      <w:r>
        <w:rPr>
          <w:rFonts w:cs="Calibri"/>
          <w:sz w:val="24"/>
          <w:szCs w:val="24"/>
          <w:lang w:val="es-CO"/>
        </w:rPr>
        <w:t xml:space="preserve">Instituto SINCHI. (2024). </w:t>
      </w:r>
      <w:r>
        <w:rPr>
          <w:rFonts w:cs="Calibri"/>
          <w:i/>
          <w:iCs/>
          <w:sz w:val="24"/>
          <w:szCs w:val="24"/>
          <w:lang w:val="es-CO"/>
        </w:rPr>
        <w:t>Conflictos mineros en Alto Putumayo</w:t>
      </w:r>
      <w:r>
        <w:rPr>
          <w:rFonts w:cs="Calibri"/>
          <w:sz w:val="24"/>
          <w:szCs w:val="24"/>
          <w:lang w:val="es-CO"/>
        </w:rPr>
        <w:t xml:space="preserve">. Recuperado de </w:t>
      </w:r>
      <w:hyperlink r:id="rId52">
        <w:r w:rsidR="00527B8C">
          <w:rPr>
            <w:rStyle w:val="Hipervnculo"/>
            <w:rFonts w:cs="Calibri"/>
            <w:sz w:val="24"/>
            <w:szCs w:val="24"/>
            <w:lang w:val="es-CO"/>
          </w:rPr>
          <w:t>https://siatac.co/Documentos/Atlas/conflictos/SINCHI029_V1_2024.pdf</w:t>
        </w:r>
      </w:hyperlink>
    </w:p>
    <w:p w:rsidR="00527B8C" w:rsidP="008B0F6E" w:rsidRDefault="00212A57" w14:paraId="6540FDED" w14:textId="77777777">
      <w:pPr>
        <w:spacing w:after="384" w:afterLines="160"/>
        <w:ind w:left="302" w:hanging="302" w:hangingChars="126"/>
        <w:jc w:val="both"/>
        <w:rPr>
          <w:rFonts w:cs="Calibri"/>
          <w:sz w:val="24"/>
          <w:szCs w:val="24"/>
          <w:lang w:val="es"/>
        </w:rPr>
      </w:pPr>
      <w:r>
        <w:rPr>
          <w:rFonts w:cs="Calibri"/>
          <w:sz w:val="24"/>
          <w:szCs w:val="24"/>
          <w:lang w:val="es"/>
        </w:rPr>
        <w:t xml:space="preserve">Instituto Amazónico de Investigaciones Científicas. 2024. Minería en los ríos San Pedro y San Francisco, alto Putumayo. Bogotá. En: </w:t>
      </w:r>
      <w:hyperlink r:id="rId53">
        <w:r w:rsidR="00527B8C">
          <w:rPr>
            <w:rStyle w:val="Hipervnculo"/>
            <w:rFonts w:cs="Calibri"/>
            <w:color w:val="0563C1"/>
            <w:sz w:val="24"/>
            <w:szCs w:val="24"/>
            <w:lang w:val="es"/>
          </w:rPr>
          <w:t>https://siatac.co/Documentos/Atlas/conflictos/SINCHI029_V1_2024.pdf</w:t>
        </w:r>
      </w:hyperlink>
      <w:r>
        <w:rPr>
          <w:rFonts w:cs="Calibri"/>
          <w:sz w:val="24"/>
          <w:szCs w:val="24"/>
          <w:lang w:val="es"/>
        </w:rPr>
        <w:t xml:space="preserve"> </w:t>
      </w:r>
    </w:p>
    <w:p w:rsidR="00527B8C" w:rsidP="008B0F6E" w:rsidRDefault="00212A57" w14:paraId="680CAF19" w14:textId="77777777">
      <w:pPr>
        <w:spacing w:after="384" w:afterLines="160"/>
        <w:ind w:left="302" w:hanging="302" w:hangingChars="126"/>
        <w:jc w:val="both"/>
        <w:rPr>
          <w:rFonts w:cs="Calibri"/>
          <w:sz w:val="24"/>
          <w:szCs w:val="24"/>
          <w:lang w:val="es"/>
        </w:rPr>
      </w:pPr>
      <w:r>
        <w:rPr>
          <w:rFonts w:cs="Calibri"/>
          <w:sz w:val="24"/>
          <w:szCs w:val="24"/>
          <w:lang w:val="es"/>
        </w:rPr>
        <w:t xml:space="preserve">Instituto Amazónico de Investigaciones Científicas. 2024. Minería de grava en los resguardos del Refugio, La Fuga y Barrancón en Guaviare. Bogotá. En: </w:t>
      </w:r>
      <w:hyperlink r:id="rId54">
        <w:r w:rsidR="00527B8C">
          <w:rPr>
            <w:rStyle w:val="Hipervnculo"/>
            <w:rFonts w:cs="Calibri"/>
            <w:color w:val="0563C1"/>
            <w:sz w:val="24"/>
            <w:szCs w:val="24"/>
            <w:lang w:val="es"/>
          </w:rPr>
          <w:t>https://siatac.co/Documentos/Atlas/conflictos/SINCHI010_V2_2023.pdf</w:t>
        </w:r>
      </w:hyperlink>
    </w:p>
    <w:p w:rsidR="00527B8C" w:rsidP="008B0F6E" w:rsidRDefault="00527B8C" w14:paraId="49A640C0" w14:textId="77777777">
      <w:pPr>
        <w:spacing w:after="384" w:afterLines="160"/>
        <w:ind w:left="302" w:hanging="302" w:hangingChars="126"/>
        <w:jc w:val="both"/>
        <w:rPr>
          <w:rFonts w:cs="Calibri"/>
          <w:color w:val="0563C1"/>
          <w:sz w:val="24"/>
          <w:szCs w:val="24"/>
          <w:lang w:val="es"/>
        </w:rPr>
      </w:pPr>
    </w:p>
    <w:p w:rsidR="00527B8C" w:rsidP="008B0F6E" w:rsidRDefault="00212A57" w14:paraId="0A0EEA75" w14:textId="77777777">
      <w:pPr>
        <w:spacing w:after="384" w:afterLines="160"/>
        <w:ind w:left="302" w:hanging="302" w:hangingChars="126"/>
        <w:jc w:val="both"/>
        <w:rPr>
          <w:rFonts w:cs="Calibri"/>
          <w:sz w:val="24"/>
          <w:szCs w:val="24"/>
        </w:rPr>
      </w:pPr>
      <w:r>
        <w:rPr>
          <w:rFonts w:cs="Calibri"/>
          <w:sz w:val="24"/>
          <w:szCs w:val="24"/>
          <w:lang w:val="es"/>
        </w:rPr>
        <w:t xml:space="preserve">Instituto Amazónico de Investigaciones Científicas SINCHI. (2019). </w:t>
      </w:r>
      <w:r>
        <w:rPr>
          <w:rFonts w:cs="Calibri"/>
          <w:i/>
          <w:iCs/>
          <w:sz w:val="24"/>
          <w:szCs w:val="24"/>
          <w:lang w:val="es"/>
        </w:rPr>
        <w:t>Minería: Impactos sociales en la Amazonia</w:t>
      </w:r>
      <w:r>
        <w:rPr>
          <w:rFonts w:cs="Calibri"/>
          <w:sz w:val="24"/>
          <w:szCs w:val="24"/>
          <w:lang w:val="es"/>
        </w:rPr>
        <w:t xml:space="preserve">. Recuperado de </w:t>
      </w:r>
      <w:hyperlink r:id="rId55">
        <w:r w:rsidR="00527B8C">
          <w:rPr>
            <w:rStyle w:val="Hipervnculo"/>
            <w:rFonts w:cs="Calibri"/>
            <w:color w:val="464FEB"/>
            <w:sz w:val="24"/>
            <w:szCs w:val="24"/>
            <w:u w:val="none"/>
            <w:lang w:val="es"/>
          </w:rPr>
          <w:t>https://sinchi.org.co/index.php/mineria-impactos-sociales-en-la-amazonia</w:t>
        </w:r>
      </w:hyperlink>
    </w:p>
    <w:p w:rsidRPr="00F30814" w:rsidR="00F30814" w:rsidP="008B0F6E" w:rsidRDefault="00F30814" w14:paraId="2044CAC4" w14:textId="77777777">
      <w:pPr>
        <w:spacing w:after="384" w:afterLines="160"/>
        <w:ind w:left="284" w:hanging="284"/>
        <w:jc w:val="both"/>
        <w:rPr>
          <w:rFonts w:cs="Calibri"/>
          <w:sz w:val="24"/>
          <w:szCs w:val="24"/>
          <w:lang w:val="es"/>
        </w:rPr>
      </w:pPr>
      <w:r w:rsidRPr="00F30814">
        <w:rPr>
          <w:rFonts w:cs="Calibri"/>
          <w:sz w:val="24"/>
          <w:szCs w:val="24"/>
          <w:lang w:val="es"/>
        </w:rPr>
        <w:t>INVÍAS – Villa Garzón – San José del Fragua y Puente Río Caquetá (28/07/2022): https://www.invias.gov.co/index.php/sala/noticias/4682-invias-firma-acta-de-inicio-del-proyecto-villa-garzon-san-jose-del-fragua-y-del-puente-sobre-el-rio-caqueta</w:t>
      </w:r>
    </w:p>
    <w:p w:rsidRPr="00F30814" w:rsidR="00F30814" w:rsidP="008B0F6E" w:rsidRDefault="00F30814" w14:paraId="0A237B80" w14:textId="40528643">
      <w:pPr>
        <w:spacing w:after="384" w:afterLines="160"/>
        <w:ind w:left="302" w:hanging="302" w:hangingChars="126"/>
        <w:jc w:val="both"/>
        <w:rPr>
          <w:rFonts w:cs="Calibri"/>
          <w:sz w:val="24"/>
          <w:szCs w:val="24"/>
          <w:lang w:val="es"/>
        </w:rPr>
      </w:pPr>
      <w:r w:rsidRPr="00F30814">
        <w:rPr>
          <w:rFonts w:cs="Calibri"/>
          <w:sz w:val="24"/>
          <w:szCs w:val="24"/>
          <w:lang w:val="es"/>
        </w:rPr>
        <w:t>INVÍAS – Variante San Francisco–Mocoa (12/11/2025): https://www.invias.gov.co/index.php/sala/noticias/6028-con-un-30-de-ejecucion-avanzan-las-obras-de-la-variante-san-francisco-mocoa</w:t>
      </w:r>
    </w:p>
    <w:p w:rsidR="00272ED8" w:rsidP="008B0F6E" w:rsidRDefault="00272ED8" w14:paraId="51306F11" w14:textId="099058CB">
      <w:pPr>
        <w:spacing w:after="384" w:afterLines="160"/>
        <w:ind w:left="302" w:hanging="302"/>
        <w:rPr>
          <w:rFonts w:cs="Calibri"/>
          <w:sz w:val="24"/>
          <w:szCs w:val="24"/>
          <w:lang w:val="es"/>
        </w:rPr>
      </w:pPr>
      <w:r w:rsidRPr="00272ED8">
        <w:rPr>
          <w:rFonts w:cs="Calibri"/>
          <w:sz w:val="24"/>
          <w:szCs w:val="24"/>
          <w:lang w:val="es"/>
        </w:rPr>
        <w:t xml:space="preserve">IIRSA – Ficha AMA01 (Tumaco–Pasto–Mocoa–Puerto Asís): </w:t>
      </w:r>
      <w:hyperlink w:history="1" r:id="rId56">
        <w:r w:rsidRPr="006C6571">
          <w:rPr>
            <w:rStyle w:val="Hipervnculo"/>
            <w:rFonts w:cs="Calibri"/>
            <w:sz w:val="24"/>
            <w:szCs w:val="24"/>
            <w:lang w:val="es"/>
          </w:rPr>
          <w:t>http://www.iirsa.org/proyectos/detalle_proyecto.aspx?h=2&amp;x=9</w:t>
        </w:r>
      </w:hyperlink>
    </w:p>
    <w:p w:rsidRPr="00272ED8" w:rsidR="00272ED8" w:rsidP="53DEF7DD" w:rsidRDefault="00272ED8" w14:paraId="4A21C06F" w14:textId="77777777">
      <w:pPr>
        <w:spacing w:after="384" w:afterLines="160"/>
        <w:ind w:left="284" w:hanging="284"/>
        <w:rPr>
          <w:rFonts w:cs="Calibri"/>
          <w:sz w:val="24"/>
          <w:szCs w:val="24"/>
          <w:lang w:val="es-ES"/>
        </w:rPr>
      </w:pPr>
      <w:r w:rsidRPr="53DEF7DD" w:rsidR="3CA4FFB5">
        <w:rPr>
          <w:rFonts w:cs="Calibri"/>
          <w:sz w:val="24"/>
          <w:szCs w:val="24"/>
          <w:lang w:val="es-ES"/>
        </w:rPr>
        <w:t>IIRSA – Ficha AMA38 (Navegabilidad Río Putumayo–</w:t>
      </w:r>
      <w:r w:rsidRPr="53DEF7DD" w:rsidR="3CA4FFB5">
        <w:rPr>
          <w:rFonts w:cs="Calibri"/>
          <w:sz w:val="24"/>
          <w:szCs w:val="24"/>
          <w:lang w:val="es-ES"/>
        </w:rPr>
        <w:t>Içá</w:t>
      </w:r>
      <w:r w:rsidRPr="53DEF7DD" w:rsidR="3CA4FFB5">
        <w:rPr>
          <w:rFonts w:cs="Calibri"/>
          <w:sz w:val="24"/>
          <w:szCs w:val="24"/>
          <w:lang w:val="es-ES"/>
        </w:rPr>
        <w:t>): http://www.cosiplan.org/proyectos/detalle_proyecto.aspx?h=39</w:t>
      </w:r>
    </w:p>
    <w:p w:rsidR="00785F84" w:rsidP="008B0F6E" w:rsidRDefault="00785F84" w14:paraId="57380BFD" w14:textId="775884BF">
      <w:pPr>
        <w:spacing w:after="384" w:afterLines="160"/>
        <w:ind w:left="302" w:hanging="302" w:hangingChars="126"/>
        <w:jc w:val="both"/>
        <w:rPr>
          <w:rFonts w:cs="Calibri"/>
          <w:sz w:val="24"/>
          <w:szCs w:val="24"/>
          <w:lang w:val="es-CO"/>
        </w:rPr>
      </w:pPr>
      <w:r w:rsidRPr="00585BB4">
        <w:rPr>
          <w:rFonts w:cs="Calibri"/>
          <w:sz w:val="24"/>
          <w:szCs w:val="24"/>
          <w:lang w:val="en-US"/>
        </w:rPr>
        <w:t xml:space="preserve">Intergovernmental Science-Policy Platform on Biodiversity and Ecosystem Services (IPBES). (2019). Global assessment report on biodiversity and ecosystem services: Summary for policymakers. </w:t>
      </w:r>
      <w:r w:rsidRPr="00585BB4">
        <w:rPr>
          <w:rFonts w:cs="Calibri"/>
          <w:sz w:val="24"/>
          <w:szCs w:val="24"/>
          <w:lang w:val="es-CO"/>
        </w:rPr>
        <w:t xml:space="preserve">Bonn, Alemania: IPBES Secretariat. Recuperado de </w:t>
      </w:r>
      <w:hyperlink w:history="1" r:id="rId57">
        <w:r w:rsidRPr="00585BB4">
          <w:rPr>
            <w:rStyle w:val="Hipervnculo"/>
            <w:rFonts w:cs="Calibri"/>
            <w:sz w:val="24"/>
            <w:szCs w:val="24"/>
            <w:lang w:val="es-CO"/>
          </w:rPr>
          <w:t>https://ipbes.net</w:t>
        </w:r>
      </w:hyperlink>
    </w:p>
    <w:p w:rsidR="00527B8C" w:rsidP="008B0F6E" w:rsidRDefault="00212A57" w14:paraId="711F8F93" w14:textId="77777777">
      <w:pPr>
        <w:spacing w:after="384" w:afterLines="160"/>
        <w:ind w:left="302" w:hanging="302" w:hangingChars="126"/>
        <w:jc w:val="both"/>
        <w:rPr>
          <w:rFonts w:cs="Calibri"/>
          <w:sz w:val="24"/>
          <w:szCs w:val="24"/>
          <w:lang w:val="en-US"/>
        </w:rPr>
      </w:pPr>
      <w:r w:rsidRPr="008B0F6E">
        <w:rPr>
          <w:rFonts w:cs="Calibri"/>
          <w:sz w:val="24"/>
          <w:szCs w:val="24"/>
          <w:lang w:val="es-CO"/>
        </w:rPr>
        <w:t xml:space="preserve">Junk, W. J., Piedade, M. T. F., Wittmann, F., Schöngart, J., &amp; Parolin, P. (2011). </w:t>
      </w:r>
      <w:r>
        <w:rPr>
          <w:rFonts w:cs="Calibri"/>
          <w:sz w:val="24"/>
          <w:szCs w:val="24"/>
          <w:lang w:val="en-US"/>
        </w:rPr>
        <w:t xml:space="preserve">Amazonian floodplain forests: Ecophysiology, biodiversity and sustainable management. Springer. https://doi.org/10.1007/978-90-481-8725-6 </w:t>
      </w:r>
    </w:p>
    <w:p w:rsidR="00527B8C" w:rsidP="008B0F6E" w:rsidRDefault="00212A57" w14:paraId="79EE564B" w14:textId="77777777">
      <w:pPr>
        <w:spacing w:after="384" w:afterLines="160"/>
        <w:ind w:left="302" w:hanging="302" w:hangingChars="126"/>
        <w:jc w:val="both"/>
        <w:rPr>
          <w:rFonts w:cs="Calibri"/>
          <w:sz w:val="24"/>
          <w:szCs w:val="24"/>
          <w:lang w:val="es-CO"/>
        </w:rPr>
      </w:pPr>
      <w:r>
        <w:rPr>
          <w:rFonts w:cs="Calibri"/>
          <w:sz w:val="24"/>
          <w:szCs w:val="24"/>
          <w:lang w:val="es-CO"/>
        </w:rPr>
        <w:t xml:space="preserve">Leyes.co. (2001). </w:t>
      </w:r>
      <w:r>
        <w:rPr>
          <w:rFonts w:cs="Calibri"/>
          <w:i/>
          <w:iCs/>
          <w:sz w:val="24"/>
          <w:szCs w:val="24"/>
          <w:lang w:val="es-CO"/>
        </w:rPr>
        <w:t>Código de Minas – Artículo 11</w:t>
      </w:r>
      <w:r>
        <w:rPr>
          <w:rFonts w:cs="Calibri"/>
          <w:sz w:val="24"/>
          <w:szCs w:val="24"/>
          <w:lang w:val="es-CO"/>
        </w:rPr>
        <w:t xml:space="preserve">. Recuperado de </w:t>
      </w:r>
      <w:hyperlink r:id="rId58">
        <w:r w:rsidR="00527B8C">
          <w:rPr>
            <w:rStyle w:val="Hipervnculo"/>
            <w:rFonts w:cs="Calibri"/>
            <w:sz w:val="24"/>
            <w:szCs w:val="24"/>
            <w:lang w:val="es-CO"/>
          </w:rPr>
          <w:t>https://leyes.co/codigo_de_minas/11.htm</w:t>
        </w:r>
      </w:hyperlink>
    </w:p>
    <w:p w:rsidR="00527B8C" w:rsidP="008B0F6E" w:rsidRDefault="00212A57" w14:paraId="66046ED5" w14:textId="77777777">
      <w:pPr>
        <w:spacing w:after="384" w:afterLines="160"/>
        <w:ind w:left="302" w:hanging="302" w:hangingChars="126"/>
        <w:jc w:val="both"/>
        <w:rPr>
          <w:rFonts w:cs="Calibri"/>
          <w:sz w:val="24"/>
          <w:szCs w:val="24"/>
          <w:lang w:val="es-CO"/>
        </w:rPr>
      </w:pPr>
      <w:r>
        <w:rPr>
          <w:rFonts w:cs="Calibri"/>
          <w:sz w:val="24"/>
          <w:szCs w:val="24"/>
          <w:lang w:val="es-CO"/>
        </w:rPr>
        <w:t xml:space="preserve">Library. (2022). </w:t>
      </w:r>
      <w:r>
        <w:rPr>
          <w:rFonts w:cs="Calibri"/>
          <w:i/>
          <w:iCs/>
          <w:sz w:val="24"/>
          <w:szCs w:val="24"/>
          <w:lang w:val="es-CO"/>
        </w:rPr>
        <w:t>Factores geomorfológicos y agregados pétreos – Huila</w:t>
      </w:r>
      <w:r>
        <w:rPr>
          <w:rFonts w:cs="Calibri"/>
          <w:sz w:val="24"/>
          <w:szCs w:val="24"/>
          <w:lang w:val="es-CO"/>
        </w:rPr>
        <w:t xml:space="preserve">. Recuperado de </w:t>
      </w:r>
      <w:hyperlink r:id="rId59">
        <w:r w:rsidR="00527B8C">
          <w:rPr>
            <w:rStyle w:val="Hipervnculo"/>
            <w:rFonts w:cs="Calibri"/>
            <w:sz w:val="24"/>
            <w:szCs w:val="24"/>
            <w:lang w:val="es-CO"/>
          </w:rPr>
          <w:t>https://1library.co/article/materiales-construcci%C3%B3n-arrastre-fallas-transversales-basamento.7qvox1gy</w:t>
        </w:r>
      </w:hyperlink>
    </w:p>
    <w:p w:rsidRPr="00FB1D93" w:rsidR="00FB1D93" w:rsidP="008B0F6E" w:rsidRDefault="00FB1D93" w14:paraId="2F778B25" w14:textId="38184E01">
      <w:pPr>
        <w:pStyle w:val="Textonotaalfinal"/>
        <w:spacing w:after="384" w:afterLines="160" w:line="276" w:lineRule="auto"/>
        <w:ind w:left="302" w:hanging="302" w:hangingChars="126"/>
        <w:jc w:val="both"/>
        <w:rPr>
          <w:rFonts w:cs="Calibri"/>
          <w:sz w:val="24"/>
          <w:szCs w:val="24"/>
        </w:rPr>
      </w:pPr>
      <w:r>
        <w:rPr>
          <w:rFonts w:cs="Calibri"/>
          <w:sz w:val="24"/>
          <w:szCs w:val="24"/>
        </w:rPr>
        <w:t xml:space="preserve">Luna Hernández, J. (2015). </w:t>
      </w:r>
      <w:r>
        <w:rPr>
          <w:rFonts w:cs="Calibri"/>
          <w:i/>
          <w:iCs/>
          <w:sz w:val="24"/>
          <w:szCs w:val="24"/>
        </w:rPr>
        <w:t>Repositorio Institucional.</w:t>
      </w:r>
      <w:r>
        <w:rPr>
          <w:rFonts w:cs="Calibri"/>
          <w:sz w:val="24"/>
          <w:szCs w:val="24"/>
        </w:rPr>
        <w:t xml:space="preserve"> Obtenido d</w:t>
      </w:r>
      <w:r w:rsidR="008B0F6E">
        <w:rPr>
          <w:rFonts w:cs="Calibri"/>
          <w:sz w:val="24"/>
          <w:szCs w:val="24"/>
        </w:rPr>
        <w:t>el impacto ambiental por la actividad de explotación de canteras en la localidad de Usme y sus principales medidas de manejo</w:t>
      </w:r>
      <w:r>
        <w:rPr>
          <w:rFonts w:cs="Calibri"/>
          <w:sz w:val="24"/>
          <w:szCs w:val="24"/>
        </w:rPr>
        <w:t xml:space="preserve">: </w:t>
      </w:r>
      <w:hyperlink w:history="1" r:id="rId60">
        <w:r w:rsidRPr="006C6571">
          <w:rPr>
            <w:rStyle w:val="Hipervnculo"/>
            <w:rFonts w:cs="Calibri"/>
            <w:sz w:val="24"/>
            <w:szCs w:val="24"/>
          </w:rPr>
          <w:t>https://repository.umng.edu.co/server/api/core/bitstreams/c5c3273d-ac71-40a2-a966-044a82314d24/content</w:t>
        </w:r>
      </w:hyperlink>
    </w:p>
    <w:p w:rsidRPr="00595A4E" w:rsidR="00595A4E" w:rsidP="008B0F6E" w:rsidRDefault="00595A4E" w14:paraId="49B30E21" w14:textId="77777777">
      <w:pPr>
        <w:spacing w:after="384" w:afterLines="160"/>
        <w:ind w:left="284" w:hanging="284"/>
        <w:rPr>
          <w:rFonts w:cs="Calibri"/>
          <w:sz w:val="24"/>
          <w:szCs w:val="24"/>
        </w:rPr>
      </w:pPr>
      <w:r w:rsidRPr="00595A4E">
        <w:rPr>
          <w:rFonts w:cs="Calibri"/>
          <w:sz w:val="24"/>
          <w:szCs w:val="24"/>
        </w:rPr>
        <w:t>MAAP – Impacto en áreas protegidas e indígenas (2025): https://www.maapprogram.org/maap-211-illegal-roads-and-deforestation-in-indigenous-reserves-national-parks-of-the-colombian-amazon/</w:t>
      </w:r>
    </w:p>
    <w:p w:rsidRPr="00595A4E" w:rsidR="00595A4E" w:rsidP="008B0F6E" w:rsidRDefault="00595A4E" w14:paraId="7531D65C" w14:textId="77777777">
      <w:pPr>
        <w:spacing w:after="384" w:afterLines="160"/>
        <w:ind w:left="284" w:hanging="284"/>
        <w:rPr>
          <w:rFonts w:cs="Calibri"/>
          <w:sz w:val="24"/>
          <w:szCs w:val="24"/>
        </w:rPr>
      </w:pPr>
      <w:r w:rsidRPr="00595A4E">
        <w:rPr>
          <w:rFonts w:cs="Calibri"/>
          <w:sz w:val="24"/>
          <w:szCs w:val="24"/>
        </w:rPr>
        <w:t>Mongabay Latam – Más de 28.000 km de vías ilegales en la Amazonía (2025): https://es.mongabay.com/2025/06/potreros-peajes-ilegales-grupos-armados-desastre-cinco-vias-ilegales-amazonia-colombia/</w:t>
      </w:r>
    </w:p>
    <w:p w:rsidR="00527B8C" w:rsidP="008B0F6E" w:rsidRDefault="00212A57" w14:paraId="1324240A" w14:textId="77777777">
      <w:pPr>
        <w:spacing w:after="384" w:afterLines="160"/>
        <w:ind w:left="302" w:hanging="302" w:hangingChars="126"/>
        <w:jc w:val="both"/>
        <w:rPr>
          <w:rFonts w:cs="Calibri"/>
          <w:sz w:val="24"/>
          <w:szCs w:val="24"/>
          <w:lang w:val="es-CO"/>
        </w:rPr>
      </w:pPr>
      <w:r>
        <w:rPr>
          <w:rFonts w:cs="Calibri"/>
          <w:sz w:val="24"/>
          <w:szCs w:val="24"/>
          <w:lang w:val="es-CO"/>
        </w:rPr>
        <w:t xml:space="preserve">Martínez, José. 2017. Impactos Ambientales por Extracción de Materiales de Arrastre, Revisión Bibliográfica para el Análisis de los Impactos Ambientales Generados por la Extracción de Material de Arrastre en Cuerpos de Agua – Caso de Estudio: Rio Purnio. Universidad Católica de Manizales. En: </w:t>
      </w:r>
      <w:hyperlink r:id="rId61">
        <w:r w:rsidR="00527B8C">
          <w:rPr>
            <w:rStyle w:val="Hipervnculo"/>
            <w:rFonts w:cs="Calibri"/>
            <w:color w:val="0563C1"/>
            <w:sz w:val="24"/>
            <w:szCs w:val="24"/>
            <w:lang w:val="es-CO"/>
          </w:rPr>
          <w:t>https://repositorio.ucm.edu.co/server/api/core/bitstreams/fef68bf3-d482-4b22-998e-5f356496a68d/content</w:t>
        </w:r>
      </w:hyperlink>
    </w:p>
    <w:p w:rsidR="00BD7923" w:rsidP="008B0F6E" w:rsidRDefault="00BD7923" w14:paraId="0B763AC2" w14:textId="77777777">
      <w:pPr>
        <w:spacing w:after="384" w:afterLines="160"/>
        <w:ind w:left="302" w:hanging="302" w:hangingChars="126"/>
        <w:jc w:val="both"/>
        <w:rPr>
          <w:rStyle w:val="Hipervnculo"/>
          <w:rFonts w:cs="Calibri"/>
          <w:sz w:val="24"/>
          <w:szCs w:val="24"/>
        </w:rPr>
      </w:pPr>
      <w:r>
        <w:rPr>
          <w:rFonts w:cs="Calibri"/>
          <w:sz w:val="24"/>
          <w:szCs w:val="24"/>
        </w:rPr>
        <w:t xml:space="preserve">Martínez Ortiz , J. A. (2017). </w:t>
      </w:r>
      <w:r>
        <w:rPr>
          <w:rFonts w:cs="Calibri"/>
          <w:i/>
          <w:iCs/>
          <w:sz w:val="24"/>
          <w:szCs w:val="24"/>
        </w:rPr>
        <w:t>Repositorio Institucional UCM.</w:t>
      </w:r>
      <w:r>
        <w:rPr>
          <w:rFonts w:cs="Calibri"/>
          <w:sz w:val="24"/>
          <w:szCs w:val="24"/>
        </w:rPr>
        <w:t xml:space="preserve"> Obtenido de Revisión Bibliográfica para el Análisis de los Impactos Ambientales Generados por la Extracción de Material de Arrastre en Cuerpos de Agua – Caso de Estudio: Rio Purnio: </w:t>
      </w:r>
      <w:hyperlink r:id="rId62">
        <w:r>
          <w:rPr>
            <w:rStyle w:val="Hipervnculo"/>
            <w:rFonts w:cs="Calibri"/>
            <w:sz w:val="24"/>
            <w:szCs w:val="24"/>
          </w:rPr>
          <w:t>https://repositorio.ucm.edu.co/server/api/core/bitstreams/00da657c-80c8-40b1-a6a8-7682e41202ef/content</w:t>
        </w:r>
      </w:hyperlink>
    </w:p>
    <w:p w:rsidR="00527B8C" w:rsidP="008B0F6E" w:rsidRDefault="00212A57" w14:paraId="202C8767" w14:textId="77777777">
      <w:pPr>
        <w:spacing w:after="384" w:afterLines="160"/>
        <w:ind w:left="302" w:hanging="302" w:hangingChars="126"/>
        <w:jc w:val="both"/>
        <w:rPr>
          <w:rFonts w:cs="Calibri"/>
          <w:sz w:val="24"/>
          <w:szCs w:val="24"/>
          <w:lang w:val="es-CO"/>
        </w:rPr>
      </w:pPr>
      <w:r>
        <w:rPr>
          <w:rFonts w:cs="Calibri"/>
          <w:sz w:val="24"/>
          <w:szCs w:val="24"/>
          <w:lang w:val="es-CO"/>
        </w:rPr>
        <w:t xml:space="preserve">Materialesdeconstruccion.pro. (2023). </w:t>
      </w:r>
      <w:r>
        <w:rPr>
          <w:rFonts w:cs="Calibri"/>
          <w:i/>
          <w:iCs/>
          <w:sz w:val="24"/>
          <w:szCs w:val="24"/>
          <w:lang w:val="es-CO"/>
        </w:rPr>
        <w:t>Qué es material de construcción</w:t>
      </w:r>
      <w:r>
        <w:rPr>
          <w:rFonts w:cs="Calibri"/>
          <w:sz w:val="24"/>
          <w:szCs w:val="24"/>
          <w:lang w:val="es-CO"/>
        </w:rPr>
        <w:t xml:space="preserve">. Recuperado de </w:t>
      </w:r>
      <w:hyperlink r:id="rId63">
        <w:r w:rsidR="00527B8C">
          <w:rPr>
            <w:rStyle w:val="Hipervnculo"/>
            <w:rFonts w:cs="Calibri"/>
            <w:sz w:val="24"/>
            <w:szCs w:val="24"/>
            <w:lang w:val="es-CO"/>
          </w:rPr>
          <w:t>https://materialesdeconstruccion.pro/que-es-material-de-construccion/</w:t>
        </w:r>
      </w:hyperlink>
    </w:p>
    <w:p w:rsidRPr="00585BB4" w:rsidR="000A59FB" w:rsidP="008B0F6E" w:rsidRDefault="000A59FB" w14:paraId="304C33B4" w14:textId="0AE4B2CF">
      <w:pPr>
        <w:spacing w:after="384" w:afterLines="160"/>
        <w:ind w:left="302" w:hanging="302" w:hangingChars="126"/>
        <w:jc w:val="both"/>
        <w:rPr>
          <w:rFonts w:cs="Calibri"/>
          <w:sz w:val="24"/>
          <w:szCs w:val="24"/>
          <w:lang w:val="es-CO"/>
        </w:rPr>
      </w:pPr>
      <w:r w:rsidRPr="00585BB4">
        <w:rPr>
          <w:rFonts w:cs="Calibri"/>
          <w:sz w:val="24"/>
          <w:szCs w:val="24"/>
          <w:lang w:val="en-US"/>
        </w:rPr>
        <w:t xml:space="preserve">Millennium Ecosystem Assessment. (2005). Ecosystems and human well-being: Synthesis. </w:t>
      </w:r>
      <w:r w:rsidRPr="00585BB4">
        <w:rPr>
          <w:rFonts w:cs="Calibri"/>
          <w:sz w:val="24"/>
          <w:szCs w:val="24"/>
          <w:lang w:val="es-CO"/>
        </w:rPr>
        <w:t>Washington, DC: Island Press. Recuperado de https://www.millenniumassessment.org</w:t>
      </w:r>
    </w:p>
    <w:p w:rsidR="00527B8C" w:rsidP="008B0F6E" w:rsidRDefault="00212A57" w14:paraId="67533695" w14:textId="4DB6AF81">
      <w:pPr>
        <w:spacing w:after="384" w:afterLines="160"/>
        <w:ind w:left="302" w:hanging="302" w:hangingChars="126"/>
        <w:jc w:val="both"/>
        <w:rPr>
          <w:rFonts w:cs="Calibri"/>
          <w:sz w:val="24"/>
          <w:szCs w:val="24"/>
          <w:lang w:val="es-CO"/>
        </w:rPr>
      </w:pPr>
      <w:r>
        <w:rPr>
          <w:rFonts w:cs="Calibri"/>
          <w:sz w:val="24"/>
          <w:szCs w:val="24"/>
          <w:lang w:val="es-CO"/>
        </w:rPr>
        <w:t xml:space="preserve">Ministerio de Ambiente y Desarrollo Sostenible. (2025, noviembre). </w:t>
      </w:r>
      <w:r>
        <w:rPr>
          <w:rFonts w:cs="Calibri"/>
          <w:i/>
          <w:iCs/>
          <w:sz w:val="24"/>
          <w:szCs w:val="24"/>
          <w:lang w:val="es-CO"/>
        </w:rPr>
        <w:t>Consulta pública: Resolución que crea la Reserva del Bioma Amazónico como medida de protección ambiental y climática</w:t>
      </w:r>
      <w:r>
        <w:rPr>
          <w:rFonts w:cs="Calibri"/>
          <w:sz w:val="24"/>
          <w:szCs w:val="24"/>
          <w:lang w:val="es-CO"/>
        </w:rPr>
        <w:t xml:space="preserve">. Recuperado de </w:t>
      </w:r>
      <w:hyperlink r:id="rId64">
        <w:r w:rsidR="00527B8C">
          <w:rPr>
            <w:rStyle w:val="Hipervnculo"/>
            <w:rFonts w:cs="Calibri"/>
            <w:sz w:val="24"/>
            <w:szCs w:val="24"/>
            <w:lang w:val="es-CO"/>
          </w:rPr>
          <w:t>https://minambiente.gov.co</w:t>
        </w:r>
      </w:hyperlink>
      <w:r>
        <w:rPr>
          <w:rFonts w:cs="Calibri"/>
          <w:sz w:val="24"/>
          <w:szCs w:val="24"/>
          <w:lang w:val="es-CO"/>
        </w:rPr>
        <w:t xml:space="preserve"> y </w:t>
      </w:r>
      <w:hyperlink r:id="rId65">
        <w:r w:rsidR="00527B8C">
          <w:rPr>
            <w:rStyle w:val="Hipervnculo"/>
            <w:rFonts w:cs="Calibri"/>
            <w:sz w:val="24"/>
            <w:szCs w:val="24"/>
            <w:lang w:val="es-CO"/>
          </w:rPr>
          <w:t>https://eltiempo.com</w:t>
        </w:r>
      </w:hyperlink>
      <w:r>
        <w:rPr>
          <w:rFonts w:cs="Calibri"/>
          <w:sz w:val="24"/>
          <w:szCs w:val="24"/>
          <w:lang w:val="es-CO"/>
        </w:rPr>
        <w:t xml:space="preserve"> </w:t>
      </w:r>
    </w:p>
    <w:p w:rsidR="00527B8C" w:rsidP="008B0F6E" w:rsidRDefault="00212A57" w14:paraId="7E61ECDC" w14:textId="77777777">
      <w:pPr>
        <w:spacing w:after="384" w:afterLines="160"/>
        <w:ind w:left="302" w:hanging="302" w:hangingChars="126"/>
        <w:jc w:val="both"/>
        <w:rPr>
          <w:rFonts w:cs="Calibri"/>
          <w:sz w:val="24"/>
          <w:szCs w:val="24"/>
          <w:lang w:val="es-CO"/>
        </w:rPr>
      </w:pPr>
      <w:r>
        <w:rPr>
          <w:rFonts w:cs="Calibri"/>
          <w:sz w:val="24"/>
          <w:szCs w:val="24"/>
          <w:lang w:val="es-CO"/>
        </w:rPr>
        <w:t xml:space="preserve">Ministerio del Interior. (2020). </w:t>
      </w:r>
      <w:r>
        <w:rPr>
          <w:rFonts w:cs="Calibri"/>
          <w:i/>
          <w:iCs/>
          <w:sz w:val="24"/>
          <w:szCs w:val="24"/>
          <w:lang w:val="es-CO"/>
        </w:rPr>
        <w:t>Resolución ST-0973/2020 – Explotación en Río Caquetá y Putumayo</w:t>
      </w:r>
      <w:r>
        <w:rPr>
          <w:rFonts w:cs="Calibri"/>
          <w:sz w:val="24"/>
          <w:szCs w:val="24"/>
          <w:lang w:val="es-CO"/>
        </w:rPr>
        <w:t xml:space="preserve">. Recuperado de </w:t>
      </w:r>
      <w:hyperlink r:id="rId66">
        <w:r w:rsidR="00527B8C">
          <w:rPr>
            <w:rStyle w:val="Hipervnculo"/>
            <w:rFonts w:cs="Calibri"/>
            <w:sz w:val="24"/>
            <w:szCs w:val="24"/>
            <w:lang w:val="es-CO"/>
          </w:rPr>
          <w:t>https://www.mininterior.gov.co/normativas/explotacion-de-material-de-arrastre-sector-del-rio-caqueta-del-putumayo-municipio-de-puerto-guzman-vereda-el-muelle/</w:t>
        </w:r>
      </w:hyperlink>
      <w:r>
        <w:rPr>
          <w:rFonts w:cs="Calibri"/>
          <w:sz w:val="24"/>
          <w:szCs w:val="24"/>
          <w:lang w:val="es-CO"/>
        </w:rPr>
        <w:t xml:space="preserve"> </w:t>
      </w:r>
    </w:p>
    <w:p w:rsidR="00527B8C" w:rsidP="008B0F6E" w:rsidRDefault="00527B8C" w14:paraId="0DC8A1FF" w14:textId="77777777">
      <w:pPr>
        <w:spacing w:after="384" w:afterLines="160"/>
        <w:ind w:left="302" w:hanging="302" w:hangingChars="126"/>
        <w:jc w:val="both"/>
        <w:rPr>
          <w:rFonts w:cs="Calibri"/>
          <w:sz w:val="24"/>
          <w:szCs w:val="24"/>
          <w:lang w:val="es-CO"/>
        </w:rPr>
      </w:pPr>
    </w:p>
    <w:p w:rsidR="00FB1D93" w:rsidP="008B0F6E" w:rsidRDefault="00FB1D93" w14:paraId="6772D524" w14:textId="3341192D">
      <w:pPr>
        <w:spacing w:after="384" w:afterLines="160"/>
        <w:ind w:left="284" w:hanging="284"/>
        <w:rPr>
          <w:rFonts w:cs="Calibri"/>
          <w:sz w:val="24"/>
          <w:szCs w:val="24"/>
          <w:lang w:val="es-CO"/>
        </w:rPr>
      </w:pPr>
      <w:r w:rsidRPr="00FB1D93">
        <w:rPr>
          <w:rFonts w:cs="Calibri"/>
          <w:sz w:val="24"/>
          <w:szCs w:val="24"/>
          <w:lang w:val="es-CO"/>
        </w:rPr>
        <w:t xml:space="preserve">MiPutumayo – Marginal de la Selva (08/02/2016): </w:t>
      </w:r>
      <w:hyperlink w:history="1" r:id="rId67">
        <w:r w:rsidRPr="006C6571">
          <w:rPr>
            <w:rStyle w:val="Hipervnculo"/>
            <w:rFonts w:cs="Calibri"/>
            <w:sz w:val="24"/>
            <w:szCs w:val="24"/>
            <w:lang w:val="es-CO"/>
          </w:rPr>
          <w:t>https://miputumayo.com.co/2016/02/08/marginal-de-la-selva-la-kilometrica-via-que-unira-a-tres-paises/</w:t>
        </w:r>
      </w:hyperlink>
    </w:p>
    <w:p w:rsidRPr="00FB1D93" w:rsidR="00FB1D93" w:rsidP="008B0F6E" w:rsidRDefault="00FB1D93" w14:paraId="3B67ADB4" w14:textId="77777777">
      <w:pPr>
        <w:spacing w:after="384" w:afterLines="160"/>
        <w:ind w:left="284" w:hanging="284"/>
        <w:rPr>
          <w:rFonts w:cs="Calibri"/>
          <w:sz w:val="24"/>
          <w:szCs w:val="24"/>
          <w:lang w:val="es-CO"/>
        </w:rPr>
      </w:pPr>
      <w:r w:rsidRPr="00FB1D93">
        <w:rPr>
          <w:rFonts w:cs="Calibri"/>
          <w:sz w:val="24"/>
          <w:szCs w:val="24"/>
          <w:lang w:val="es-CO"/>
        </w:rPr>
        <w:t>MinTransporte – Gobernanza fluvial Amazonas (24/07/2021): https://mintransporte.gov.co/publicaciones/10063/incrementar-el-modo-fluvial-en-amazonas-una-prioridad-del-gobierno-nacional-mintransporte/</w:t>
      </w:r>
    </w:p>
    <w:p w:rsidR="00527B8C" w:rsidP="008B0F6E" w:rsidRDefault="00212A57" w14:paraId="64FB60AB" w14:textId="77777777">
      <w:pPr>
        <w:spacing w:after="384" w:afterLines="160"/>
        <w:ind w:left="302" w:hanging="302" w:hangingChars="126"/>
        <w:jc w:val="both"/>
        <w:rPr>
          <w:rFonts w:cs="Calibri"/>
          <w:sz w:val="24"/>
          <w:szCs w:val="24"/>
          <w:lang w:val="es-CO"/>
        </w:rPr>
      </w:pPr>
      <w:r>
        <w:rPr>
          <w:rFonts w:cs="Calibri"/>
          <w:sz w:val="24"/>
          <w:szCs w:val="24"/>
          <w:lang w:val="es-CO"/>
        </w:rPr>
        <w:t xml:space="preserve">Noticias de la Ciencia. (2023). </w:t>
      </w:r>
      <w:r>
        <w:rPr>
          <w:rFonts w:cs="Calibri"/>
          <w:i/>
          <w:iCs/>
          <w:sz w:val="24"/>
          <w:szCs w:val="24"/>
          <w:lang w:val="es-CO"/>
        </w:rPr>
        <w:t>Importancia de los sedimentos en ecosistemas fluviales y costeros</w:t>
      </w:r>
      <w:r>
        <w:rPr>
          <w:rFonts w:cs="Calibri"/>
          <w:sz w:val="24"/>
          <w:szCs w:val="24"/>
          <w:lang w:val="es-CO"/>
        </w:rPr>
        <w:t xml:space="preserve">. Recuperado de </w:t>
      </w:r>
      <w:hyperlink r:id="rId68">
        <w:r w:rsidR="00527B8C">
          <w:rPr>
            <w:rStyle w:val="Hipervnculo"/>
            <w:rFonts w:cs="Calibri"/>
            <w:sz w:val="24"/>
            <w:szCs w:val="24"/>
            <w:lang w:val="es-CO"/>
          </w:rPr>
          <w:t>https://noticiasdelaciencia.com/art/55285/la-importancia-vital-de-los-sedimentos-en-los-ecosistemas-fluviales-y-costeros</w:t>
        </w:r>
      </w:hyperlink>
      <w:r>
        <w:rPr>
          <w:rFonts w:cs="Calibri"/>
          <w:sz w:val="24"/>
          <w:szCs w:val="24"/>
          <w:lang w:val="es-CO"/>
        </w:rPr>
        <w:t xml:space="preserve"> </w:t>
      </w:r>
    </w:p>
    <w:p w:rsidR="00527B8C" w:rsidP="008B0F6E" w:rsidRDefault="00212A57" w14:paraId="1AB86055" w14:textId="77777777">
      <w:pPr>
        <w:spacing w:after="384" w:afterLines="160"/>
        <w:ind w:left="302" w:hanging="302" w:hangingChars="126"/>
        <w:jc w:val="both"/>
        <w:rPr>
          <w:rStyle w:val="Hipervnculo"/>
          <w:rFonts w:cs="Calibri"/>
          <w:sz w:val="24"/>
          <w:szCs w:val="24"/>
          <w:lang w:val="es-CO"/>
        </w:rPr>
      </w:pPr>
      <w:r>
        <w:rPr>
          <w:rFonts w:cs="Calibri"/>
          <w:sz w:val="24"/>
          <w:szCs w:val="24"/>
          <w:lang w:val="es-CO"/>
        </w:rPr>
        <w:t xml:space="preserve">Organización del Tratado de Cooperación Amazónica (OTCA) &amp; Cancillería de Colombia. (2025, agosto 22). </w:t>
      </w:r>
      <w:r>
        <w:rPr>
          <w:rFonts w:cs="Calibri"/>
          <w:i/>
          <w:iCs/>
          <w:sz w:val="24"/>
          <w:szCs w:val="24"/>
          <w:lang w:val="es-CO"/>
        </w:rPr>
        <w:t>Declaración de Bogotá: Cumbre de Presidentes Amazónicos</w:t>
      </w:r>
      <w:r>
        <w:rPr>
          <w:rFonts w:cs="Calibri"/>
          <w:sz w:val="24"/>
          <w:szCs w:val="24"/>
          <w:lang w:val="es-CO"/>
        </w:rPr>
        <w:t xml:space="preserve">. Recuperado de </w:t>
      </w:r>
      <w:hyperlink r:id="rId69">
        <w:r w:rsidR="00527B8C">
          <w:rPr>
            <w:rStyle w:val="Hipervnculo"/>
            <w:rFonts w:cs="Calibri"/>
            <w:sz w:val="24"/>
            <w:szCs w:val="24"/>
            <w:lang w:val="es-CO"/>
          </w:rPr>
          <w:t>https://otca.org</w:t>
        </w:r>
      </w:hyperlink>
      <w:r>
        <w:rPr>
          <w:rFonts w:cs="Calibri"/>
          <w:sz w:val="24"/>
          <w:szCs w:val="24"/>
          <w:lang w:val="es-CO"/>
        </w:rPr>
        <w:t xml:space="preserve"> y </w:t>
      </w:r>
      <w:hyperlink r:id="rId70">
        <w:r w:rsidR="00527B8C">
          <w:rPr>
            <w:rStyle w:val="Hipervnculo"/>
            <w:rFonts w:cs="Calibri"/>
            <w:sz w:val="24"/>
            <w:szCs w:val="24"/>
            <w:lang w:val="es-CO"/>
          </w:rPr>
          <w:t>https://cancilleria.gov.co</w:t>
        </w:r>
      </w:hyperlink>
    </w:p>
    <w:p w:rsidRPr="00585BB4" w:rsidR="00C70F97" w:rsidP="008B0F6E" w:rsidRDefault="00C70F97" w14:paraId="19A97310" w14:textId="77777777">
      <w:pPr>
        <w:spacing w:after="384" w:afterLines="160"/>
        <w:ind w:left="302" w:hanging="302" w:hangingChars="126"/>
        <w:jc w:val="both"/>
        <w:rPr>
          <w:rFonts w:cs="Calibri"/>
          <w:sz w:val="24"/>
          <w:szCs w:val="24"/>
          <w:lang w:val="es-CO"/>
        </w:rPr>
      </w:pPr>
      <w:r w:rsidRPr="00585BB4">
        <w:rPr>
          <w:rFonts w:cs="Calibri"/>
          <w:sz w:val="24"/>
          <w:szCs w:val="24"/>
          <w:lang w:val="es-CO"/>
        </w:rPr>
        <w:t>Organización Mundial de la Salud. (1948). Constitución de la Organización Mundial de la Salud. Recuperado de https://www.who.int</w:t>
      </w:r>
    </w:p>
    <w:p w:rsidRPr="00585BB4" w:rsidR="00C70F97" w:rsidP="008B0F6E" w:rsidRDefault="00C70F97" w14:paraId="3D474582" w14:textId="77777777">
      <w:pPr>
        <w:spacing w:after="384" w:afterLines="160"/>
        <w:ind w:left="302" w:hanging="302" w:hangingChars="126"/>
        <w:jc w:val="both"/>
        <w:rPr>
          <w:rFonts w:cs="Calibri"/>
          <w:sz w:val="24"/>
          <w:szCs w:val="24"/>
          <w:lang w:val="es-CO"/>
        </w:rPr>
      </w:pPr>
      <w:r w:rsidRPr="00585BB4">
        <w:rPr>
          <w:rFonts w:cs="Calibri"/>
          <w:sz w:val="24"/>
          <w:szCs w:val="24"/>
          <w:lang w:val="es-CO"/>
        </w:rPr>
        <w:t xml:space="preserve">Organización de las Naciones Unidas para la Alimentación y la Agricultura (FAO). </w:t>
      </w:r>
      <w:r w:rsidRPr="00585BB4">
        <w:rPr>
          <w:rFonts w:cs="Calibri"/>
          <w:sz w:val="24"/>
          <w:szCs w:val="24"/>
          <w:lang w:val="en-US"/>
        </w:rPr>
        <w:t xml:space="preserve">(2011). The state of the world’s land and water resources for food and agriculture: Managing systems at risk. </w:t>
      </w:r>
      <w:r w:rsidRPr="00585BB4">
        <w:rPr>
          <w:rFonts w:cs="Calibri"/>
          <w:sz w:val="24"/>
          <w:szCs w:val="24"/>
          <w:lang w:val="es-CO"/>
        </w:rPr>
        <w:t>Londres: Earthscan. Recuperado de https://www.fao.org</w:t>
      </w:r>
    </w:p>
    <w:p w:rsidR="00527B8C" w:rsidP="008B0F6E" w:rsidRDefault="00212A57" w14:paraId="2E54590C" w14:textId="38BF31BB">
      <w:pPr>
        <w:spacing w:after="384" w:afterLines="160"/>
        <w:ind w:left="302" w:hanging="302" w:hangingChars="126"/>
        <w:jc w:val="both"/>
        <w:rPr>
          <w:rStyle w:val="Hipervnculo"/>
          <w:rFonts w:cs="Calibri"/>
          <w:sz w:val="24"/>
          <w:szCs w:val="24"/>
          <w:lang w:val="es-CO"/>
        </w:rPr>
      </w:pPr>
      <w:r>
        <w:rPr>
          <w:rFonts w:cs="Calibri"/>
          <w:sz w:val="24"/>
          <w:szCs w:val="24"/>
          <w:lang w:val="es-CO"/>
        </w:rPr>
        <w:t xml:space="preserve">Padua Materiales. (2023). </w:t>
      </w:r>
      <w:r>
        <w:rPr>
          <w:rFonts w:cs="Calibri"/>
          <w:i/>
          <w:iCs/>
          <w:sz w:val="24"/>
          <w:szCs w:val="24"/>
          <w:lang w:val="es-CO"/>
        </w:rPr>
        <w:t>Materiales de construcción: definición y composición</w:t>
      </w:r>
      <w:r>
        <w:rPr>
          <w:rFonts w:cs="Calibri"/>
          <w:sz w:val="24"/>
          <w:szCs w:val="24"/>
          <w:lang w:val="es-CO"/>
        </w:rPr>
        <w:t xml:space="preserve">. Recuperado de </w:t>
      </w:r>
      <w:hyperlink r:id="rId71">
        <w:r w:rsidR="00527B8C">
          <w:rPr>
            <w:rStyle w:val="Hipervnculo"/>
            <w:rFonts w:cs="Calibri"/>
            <w:sz w:val="24"/>
            <w:szCs w:val="24"/>
            <w:lang w:val="es-CO"/>
          </w:rPr>
          <w:t>https://paduamateriales.com/materiales-de-la-construccion-definicion-composicion/</w:t>
        </w:r>
      </w:hyperlink>
    </w:p>
    <w:p w:rsidRPr="00595A4E" w:rsidR="00595A4E" w:rsidP="008B0F6E" w:rsidRDefault="00595A4E" w14:paraId="106AE871" w14:textId="77777777">
      <w:pPr>
        <w:spacing w:after="384" w:afterLines="160"/>
        <w:ind w:left="284" w:hanging="284"/>
        <w:rPr>
          <w:rFonts w:cs="Calibri"/>
          <w:sz w:val="24"/>
          <w:szCs w:val="24"/>
          <w:lang w:val="es-CO"/>
        </w:rPr>
      </w:pPr>
      <w:r w:rsidRPr="00595A4E">
        <w:rPr>
          <w:rFonts w:cs="Calibri"/>
          <w:sz w:val="24"/>
          <w:szCs w:val="24"/>
          <w:lang w:val="es-CO"/>
        </w:rPr>
        <w:t>Procuraduría – Informe sobre vías ilegales y deforestación (2025): https://www.procuraduria.gov.co/Pages/procuraduria-reporta-mas-88000-hectareas-deforestadas-1107-kilometros-vias-ilegales-seis-meses-amazonia.aspx</w:t>
      </w:r>
    </w:p>
    <w:p w:rsidR="00527B8C" w:rsidP="008B0F6E" w:rsidRDefault="00212A57" w14:paraId="74E8F5BA" w14:textId="77777777">
      <w:pPr>
        <w:spacing w:after="384" w:afterLines="160"/>
        <w:ind w:left="302" w:hanging="302" w:hangingChars="126"/>
        <w:jc w:val="both"/>
        <w:rPr>
          <w:rFonts w:cs="Calibri"/>
          <w:sz w:val="24"/>
          <w:szCs w:val="24"/>
          <w:lang w:val="es-CO"/>
        </w:rPr>
      </w:pPr>
      <w:r>
        <w:rPr>
          <w:rFonts w:cs="Calibri"/>
          <w:sz w:val="24"/>
          <w:szCs w:val="24"/>
          <w:lang w:val="es-CO"/>
        </w:rPr>
        <w:t xml:space="preserve">RAISG. (2020). </w:t>
      </w:r>
      <w:r>
        <w:rPr>
          <w:rFonts w:cs="Calibri"/>
          <w:i/>
          <w:iCs/>
          <w:sz w:val="24"/>
          <w:szCs w:val="24"/>
          <w:lang w:val="es-CO"/>
        </w:rPr>
        <w:t>Atlas Amazónico 2020: Zonas mineras y superposición con áreas naturales protegidas y territorios indígenas</w:t>
      </w:r>
      <w:r>
        <w:rPr>
          <w:rFonts w:cs="Calibri"/>
          <w:sz w:val="24"/>
          <w:szCs w:val="24"/>
          <w:lang w:val="es-CO"/>
        </w:rPr>
        <w:t xml:space="preserve">. Recuperado de </w:t>
      </w:r>
      <w:hyperlink r:id="rId72">
        <w:r w:rsidR="00527B8C">
          <w:rPr>
            <w:rStyle w:val="Hipervnculo"/>
            <w:rFonts w:cs="Calibri"/>
            <w:sz w:val="24"/>
            <w:szCs w:val="24"/>
            <w:lang w:val="es-CO"/>
          </w:rPr>
          <w:t>https://atlas2020.amazoniasocioambiental.org</w:t>
        </w:r>
      </w:hyperlink>
    </w:p>
    <w:p w:rsidR="00527B8C" w:rsidP="008B0F6E" w:rsidRDefault="00212A57" w14:paraId="2827CEA4" w14:textId="77777777">
      <w:pPr>
        <w:spacing w:after="384" w:afterLines="160"/>
        <w:ind w:left="302" w:hanging="302" w:hangingChars="126"/>
        <w:jc w:val="both"/>
        <w:rPr>
          <w:rFonts w:cs="Calibri"/>
          <w:sz w:val="24"/>
          <w:szCs w:val="24"/>
          <w:lang w:val="es-CO"/>
        </w:rPr>
      </w:pPr>
      <w:r>
        <w:rPr>
          <w:rFonts w:cs="Calibri"/>
          <w:sz w:val="24"/>
          <w:szCs w:val="24"/>
          <w:lang w:val="es-CO"/>
        </w:rPr>
        <w:t xml:space="preserve">Revista EIA. (2023). </w:t>
      </w:r>
      <w:r>
        <w:rPr>
          <w:rFonts w:cs="Calibri"/>
          <w:i/>
          <w:iCs/>
          <w:sz w:val="24"/>
          <w:szCs w:val="24"/>
          <w:lang w:val="es-CO"/>
        </w:rPr>
        <w:t>Optimización logística</w:t>
      </w:r>
      <w:r>
        <w:rPr>
          <w:rFonts w:cs="Calibri"/>
          <w:sz w:val="24"/>
          <w:szCs w:val="24"/>
          <w:lang w:val="es-CO"/>
        </w:rPr>
        <w:t xml:space="preserve">. Recuperado de </w:t>
      </w:r>
      <w:hyperlink r:id="rId73">
        <w:r w:rsidR="00527B8C">
          <w:rPr>
            <w:rStyle w:val="Hipervnculo"/>
            <w:rFonts w:cs="Calibri"/>
            <w:sz w:val="24"/>
            <w:szCs w:val="24"/>
            <w:lang w:val="es-CO"/>
          </w:rPr>
          <w:t>https://dialnet.unirioja.es/descarga/articulo/9960619.pdf</w:t>
        </w:r>
      </w:hyperlink>
    </w:p>
    <w:p w:rsidR="00FB1D93" w:rsidP="008B0F6E" w:rsidRDefault="00FB1D93" w14:paraId="71FDB3C9" w14:textId="77777777">
      <w:pPr>
        <w:spacing w:after="384" w:afterLines="160"/>
        <w:ind w:left="265" w:hanging="265" w:hangingChars="126"/>
        <w:jc w:val="both"/>
      </w:pPr>
      <w:r>
        <w:rPr>
          <w:rFonts w:ascii="Segoe UI" w:hAnsi="Segoe UI" w:eastAsia="Segoe UI" w:cs="Segoe UI"/>
          <w:sz w:val="21"/>
          <w:szCs w:val="21"/>
          <w:lang w:val="es-CO"/>
        </w:rPr>
        <w:t xml:space="preserve">Secretaría de Medio Ambiente y Recursos Naturales (SEMARNAT). (s. f.). </w:t>
      </w:r>
      <w:r>
        <w:rPr>
          <w:rFonts w:ascii="Segoe UI" w:hAnsi="Segoe UI" w:eastAsia="Segoe UI" w:cs="Segoe UI"/>
          <w:i/>
          <w:iCs/>
          <w:sz w:val="21"/>
          <w:szCs w:val="21"/>
          <w:lang w:val="es-CO"/>
        </w:rPr>
        <w:t>P 2.1.1 Sistema Nacional de Información Ambiental y de Recursos Naturales: Indicadores de crecimiento verde – Extracción de materiales</w:t>
      </w:r>
      <w:r>
        <w:rPr>
          <w:rFonts w:ascii="Segoe UI" w:hAnsi="Segoe UI" w:eastAsia="Segoe UI" w:cs="Segoe UI"/>
          <w:sz w:val="21"/>
          <w:szCs w:val="21"/>
          <w:lang w:val="es-CO"/>
        </w:rPr>
        <w:t xml:space="preserve">. Recuperado el 11 de diciembre de 2025, de </w:t>
      </w:r>
      <w:hyperlink w:anchor=":~:text=Promueven%20la%20p%C3%A9rdida%20y%20degradaci%C3%B3n,colaterales%20en%20la%20salud%20humana" r:id="rId74">
        <w:r>
          <w:rPr>
            <w:rStyle w:val="Hipervnculo"/>
            <w:rFonts w:ascii="Segoe UI" w:hAnsi="Segoe UI" w:eastAsia="Segoe UI" w:cs="Segoe UI"/>
            <w:sz w:val="21"/>
            <w:szCs w:val="21"/>
            <w:lang w:val="es-CO"/>
          </w:rPr>
          <w:t>https://apps1.semarnat.gob.mx:8443/dgeia/indicadores_verdes17/indicadores/02_productividad/2.1.1.html#:~:text=Promueven%20la%20p%C3%A9rdida%20y%20degradaci%C3%B3n,colaterales%20en%20la%20salud%20humana</w:t>
        </w:r>
      </w:hyperlink>
      <w:r>
        <w:rPr>
          <w:rFonts w:ascii="Segoe UI" w:hAnsi="Segoe UI" w:eastAsia="Segoe UI" w:cs="Segoe UI"/>
          <w:sz w:val="21"/>
          <w:szCs w:val="21"/>
          <w:lang w:val="es-CO"/>
        </w:rPr>
        <w:t>.</w:t>
      </w:r>
    </w:p>
    <w:p w:rsidR="00527B8C" w:rsidP="008B0F6E" w:rsidRDefault="00212A57" w14:paraId="2142FCAB" w14:textId="77777777">
      <w:pPr>
        <w:spacing w:after="384" w:afterLines="160"/>
        <w:ind w:left="302" w:hanging="302" w:hangingChars="126"/>
        <w:jc w:val="both"/>
        <w:rPr>
          <w:rFonts w:cs="Calibri"/>
          <w:sz w:val="24"/>
          <w:szCs w:val="24"/>
          <w:lang w:val="es-CO"/>
        </w:rPr>
      </w:pPr>
      <w:r>
        <w:rPr>
          <w:rFonts w:cs="Calibri"/>
          <w:sz w:val="24"/>
          <w:szCs w:val="24"/>
          <w:lang w:val="es-CO"/>
        </w:rPr>
        <w:t xml:space="preserve">Scienceaq. (2023). ¿Qué hay en el suelo del lecho del río? </w:t>
      </w:r>
      <w:r>
        <w:rPr>
          <w:rFonts w:cs="Calibri"/>
          <w:i/>
          <w:iCs/>
          <w:sz w:val="24"/>
          <w:szCs w:val="24"/>
          <w:lang w:val="es-CO"/>
        </w:rPr>
        <w:t>Scienceaq</w:t>
      </w:r>
      <w:r>
        <w:rPr>
          <w:rFonts w:cs="Calibri"/>
          <w:sz w:val="24"/>
          <w:szCs w:val="24"/>
          <w:lang w:val="es-CO"/>
        </w:rPr>
        <w:t xml:space="preserve">. Recuperado de </w:t>
      </w:r>
      <w:hyperlink r:id="rId75">
        <w:r w:rsidR="00527B8C">
          <w:rPr>
            <w:rStyle w:val="Hipervnculo"/>
            <w:rFonts w:cs="Calibri"/>
            <w:sz w:val="24"/>
            <w:szCs w:val="24"/>
            <w:lang w:val="es-CO"/>
          </w:rPr>
          <w:t>https://es.scienceaq.com/Geology/1003310384.html</w:t>
        </w:r>
      </w:hyperlink>
    </w:p>
    <w:p w:rsidR="00FB1D93" w:rsidP="008B0F6E" w:rsidRDefault="00FB1D93" w14:paraId="7C8AE818" w14:textId="77777777">
      <w:pPr>
        <w:spacing w:after="384" w:afterLines="160"/>
        <w:ind w:left="265" w:hanging="265" w:hangingChars="126"/>
        <w:jc w:val="both"/>
      </w:pPr>
      <w:r>
        <w:rPr>
          <w:rFonts w:ascii="Segoe UI" w:hAnsi="Segoe UI" w:eastAsia="Segoe UI" w:cs="Segoe UI"/>
          <w:sz w:val="21"/>
          <w:szCs w:val="21"/>
          <w:lang w:val="es-CO"/>
        </w:rPr>
        <w:t xml:space="preserve">SIAT-AC. (2024). </w:t>
      </w:r>
      <w:r>
        <w:rPr>
          <w:rFonts w:ascii="Segoe UI" w:hAnsi="Segoe UI" w:eastAsia="Segoe UI" w:cs="Segoe UI"/>
          <w:i/>
          <w:iCs/>
          <w:sz w:val="21"/>
          <w:szCs w:val="21"/>
          <w:lang w:val="es-CO"/>
        </w:rPr>
        <w:t>Atlas | Voces del Territorio de Alto Putumayo</w:t>
      </w:r>
      <w:r>
        <w:rPr>
          <w:rFonts w:ascii="Segoe UI" w:hAnsi="Segoe UI" w:eastAsia="Segoe UI" w:cs="Segoe UI"/>
          <w:sz w:val="21"/>
          <w:szCs w:val="21"/>
          <w:lang w:val="es-CO"/>
        </w:rPr>
        <w:t xml:space="preserve">. Recuperado el 11 de diciembre de 2025 de </w:t>
      </w:r>
      <w:hyperlink r:id="rId76">
        <w:r>
          <w:rPr>
            <w:rStyle w:val="Hipervnculo"/>
            <w:rFonts w:ascii="Segoe UI" w:hAnsi="Segoe UI" w:eastAsia="Segoe UI" w:cs="Segoe UI"/>
            <w:sz w:val="21"/>
            <w:szCs w:val="21"/>
            <w:lang w:val="es-CO"/>
          </w:rPr>
          <w:t>https://siatac.co/atlas-voces-del-territorio-de-alto-putumayo/</w:t>
        </w:r>
      </w:hyperlink>
    </w:p>
    <w:p w:rsidRPr="007D47D4" w:rsidR="00527B8C" w:rsidP="008B0F6E" w:rsidRDefault="00212A57" w14:paraId="3F533341" w14:textId="77F6CA71">
      <w:pPr>
        <w:spacing w:after="384" w:afterLines="160"/>
        <w:ind w:left="302" w:hanging="302" w:hangingChars="126"/>
        <w:jc w:val="both"/>
        <w:rPr>
          <w:rStyle w:val="Hipervnculo"/>
          <w:rFonts w:cs="Calibri"/>
          <w:sz w:val="24"/>
          <w:szCs w:val="24"/>
          <w:lang w:val="en-US"/>
        </w:rPr>
      </w:pPr>
      <w:r>
        <w:rPr>
          <w:rFonts w:cs="Calibri"/>
          <w:sz w:val="24"/>
          <w:szCs w:val="24"/>
          <w:lang w:val="en-US"/>
        </w:rPr>
        <w:t xml:space="preserve">Sioli, H. (1984). The Amazon and its main affluents: Hydrography, morphology of the river courses, and river types. </w:t>
      </w:r>
      <w:r w:rsidRPr="007D47D4">
        <w:rPr>
          <w:rFonts w:cs="Calibri"/>
          <w:sz w:val="24"/>
          <w:szCs w:val="24"/>
          <w:lang w:val="en-US"/>
        </w:rPr>
        <w:t xml:space="preserve">In The Amazon (pp. 127-165). Springer. </w:t>
      </w:r>
      <w:hyperlink r:id="rId77">
        <w:r w:rsidRPr="007D47D4" w:rsidR="00527B8C">
          <w:rPr>
            <w:rStyle w:val="Hipervnculo"/>
            <w:rFonts w:cs="Calibri"/>
            <w:sz w:val="24"/>
            <w:szCs w:val="24"/>
            <w:lang w:val="en-US"/>
          </w:rPr>
          <w:t>https://doi.org/10.1007/978-94-009-6542-3_5</w:t>
        </w:r>
      </w:hyperlink>
    </w:p>
    <w:p w:rsidRPr="00BD7923" w:rsidR="00BD7923" w:rsidP="008B0F6E" w:rsidRDefault="00BD7923" w14:paraId="0333581F" w14:textId="47F697F5">
      <w:pPr>
        <w:spacing w:after="384" w:afterLines="160"/>
        <w:ind w:left="302" w:hanging="302"/>
        <w:rPr>
          <w:rFonts w:cs="Calibri"/>
          <w:sz w:val="24"/>
          <w:szCs w:val="24"/>
          <w:lang w:val="en-US"/>
        </w:rPr>
      </w:pPr>
      <w:r w:rsidRPr="00BD7923">
        <w:rPr>
          <w:rFonts w:cs="Calibri"/>
          <w:sz w:val="24"/>
          <w:szCs w:val="24"/>
          <w:lang w:val="en-US"/>
        </w:rPr>
        <w:t xml:space="preserve">SINCHI – Variante San Francisco–Mocoa (2024): </w:t>
      </w:r>
      <w:hyperlink w:history="1" r:id="rId78">
        <w:r w:rsidRPr="006C6571" w:rsidR="008B0F6E">
          <w:rPr>
            <w:rStyle w:val="Hipervnculo"/>
            <w:rFonts w:cs="Calibri"/>
            <w:sz w:val="24"/>
            <w:szCs w:val="24"/>
            <w:lang w:val="en-US"/>
          </w:rPr>
          <w:t>https://siatac.co/Documentos/Atlas/conflictos/Conflictos%202024/14/SINCHI0014_V2_2024_compressed.pdf</w:t>
        </w:r>
      </w:hyperlink>
    </w:p>
    <w:p w:rsidR="00FB1D93" w:rsidP="008B0F6E" w:rsidRDefault="00FB1D93" w14:paraId="764E734C" w14:textId="77777777">
      <w:pPr>
        <w:spacing w:after="384" w:afterLines="160"/>
        <w:ind w:left="302" w:hanging="302" w:hangingChars="126"/>
        <w:jc w:val="both"/>
      </w:pPr>
      <w:r>
        <w:rPr>
          <w:rFonts w:cs="Calibri"/>
          <w:sz w:val="24"/>
          <w:szCs w:val="24"/>
          <w:lang w:val="en-US"/>
        </w:rPr>
        <w:t xml:space="preserve">Scottish Government. (2024). </w:t>
      </w:r>
      <w:r>
        <w:rPr>
          <w:rFonts w:cs="Calibri"/>
          <w:i/>
          <w:iCs/>
          <w:sz w:val="24"/>
          <w:szCs w:val="24"/>
          <w:lang w:val="en-US"/>
        </w:rPr>
        <w:t>Air pollution impacts on the environment</w:t>
      </w:r>
      <w:r>
        <w:rPr>
          <w:rFonts w:cs="Calibri"/>
          <w:sz w:val="24"/>
          <w:szCs w:val="24"/>
          <w:lang w:val="en-US"/>
        </w:rPr>
        <w:t>. </w:t>
      </w:r>
      <w:r>
        <w:rPr>
          <w:rFonts w:cs="Calibri"/>
          <w:sz w:val="24"/>
          <w:szCs w:val="24"/>
          <w:lang w:val="es-CO"/>
        </w:rPr>
        <w:t xml:space="preserve">Scotland’s environment web. Recuperado el 11 de diciembre de 2025, de </w:t>
      </w:r>
      <w:hyperlink r:id="rId79">
        <w:r>
          <w:rPr>
            <w:rStyle w:val="Hipervnculo"/>
            <w:rFonts w:cs="Calibri"/>
            <w:sz w:val="24"/>
            <w:szCs w:val="24"/>
            <w:lang w:val="es-CO"/>
          </w:rPr>
          <w:t>https://www.environment.gov.scot/our-environment/air/air-pollution-impacts-on-the-environment/</w:t>
        </w:r>
      </w:hyperlink>
      <w:r>
        <w:rPr>
          <w:rFonts w:cs="Calibri"/>
          <w:sz w:val="24"/>
          <w:szCs w:val="24"/>
          <w:lang w:val="es-CO"/>
        </w:rPr>
        <w:t xml:space="preserve"> </w:t>
      </w:r>
      <w:hyperlink r:id="rId80">
        <w:r>
          <w:rPr>
            <w:rStyle w:val="Hipervnculo"/>
            <w:rFonts w:cs="Calibri"/>
            <w:color w:val="0563C1"/>
            <w:sz w:val="24"/>
            <w:szCs w:val="24"/>
            <w:lang w:val="es-CO"/>
          </w:rPr>
          <w:t>[environment.gov.scot]</w:t>
        </w:r>
      </w:hyperlink>
    </w:p>
    <w:p w:rsidRPr="00FB1D93" w:rsidR="00FB1D93" w:rsidP="008B0F6E" w:rsidRDefault="00FB1D93" w14:paraId="6ECCFF40" w14:textId="45F73AEA">
      <w:pPr>
        <w:spacing w:after="384" w:afterLines="160"/>
        <w:ind w:left="284" w:hanging="284"/>
        <w:rPr>
          <w:rFonts w:cs="Calibri"/>
          <w:sz w:val="24"/>
          <w:szCs w:val="24"/>
        </w:rPr>
      </w:pPr>
      <w:r w:rsidRPr="00FB1D93">
        <w:rPr>
          <w:rFonts w:cs="Calibri"/>
          <w:sz w:val="24"/>
          <w:szCs w:val="24"/>
        </w:rPr>
        <w:t xml:space="preserve">SuperTransporte – Caracterización fluvial Amazonas (2022): </w:t>
      </w:r>
      <w:r w:rsidRPr="00BD7923">
        <w:rPr>
          <w:rFonts w:cs="Calibri"/>
        </w:rPr>
        <w:t>https://www.supertransporte.gov.co/documentos/2022/Junio/Puertos_22/01.Amazonas.pdf</w:t>
      </w:r>
    </w:p>
    <w:p w:rsidR="00527B8C" w:rsidP="008B0F6E" w:rsidRDefault="00212A57" w14:paraId="7BFF791B" w14:textId="09C68A03">
      <w:pPr>
        <w:spacing w:after="384" w:afterLines="160"/>
        <w:ind w:left="302" w:hanging="302" w:hangingChars="126"/>
        <w:jc w:val="both"/>
        <w:rPr>
          <w:rFonts w:cs="Calibri"/>
          <w:sz w:val="24"/>
          <w:szCs w:val="24"/>
          <w:lang w:val="es-CO"/>
        </w:rPr>
      </w:pPr>
      <w:r>
        <w:rPr>
          <w:rFonts w:cs="Calibri"/>
          <w:sz w:val="24"/>
          <w:szCs w:val="24"/>
          <w:lang w:val="es-CO"/>
        </w:rPr>
        <w:t xml:space="preserve">Todopedia. (2022). </w:t>
      </w:r>
      <w:r>
        <w:rPr>
          <w:rFonts w:cs="Calibri"/>
          <w:i/>
          <w:iCs/>
          <w:sz w:val="24"/>
          <w:szCs w:val="24"/>
          <w:lang w:val="es-CO"/>
        </w:rPr>
        <w:t>Materiales pétreos naturales y características</w:t>
      </w:r>
      <w:r>
        <w:rPr>
          <w:rFonts w:cs="Calibri"/>
          <w:sz w:val="24"/>
          <w:szCs w:val="24"/>
          <w:lang w:val="es-CO"/>
        </w:rPr>
        <w:t xml:space="preserve">. Recuperado de </w:t>
      </w:r>
      <w:hyperlink r:id="rId81">
        <w:r w:rsidR="00527B8C">
          <w:rPr>
            <w:rStyle w:val="Hipervnculo"/>
            <w:rFonts w:cs="Calibri"/>
            <w:sz w:val="24"/>
            <w:szCs w:val="24"/>
            <w:lang w:val="es-CO"/>
          </w:rPr>
          <w:t>https://www.todopedia.online/materiales-petreos-naturales-rocas-y-granulares-clasificacion-caracteristicas-procedencia-y-aplicaciones-23384</w:t>
        </w:r>
      </w:hyperlink>
    </w:p>
    <w:p w:rsidR="00527B8C" w:rsidP="008B0F6E" w:rsidRDefault="00212A57" w14:paraId="36DAA2DF" w14:textId="77777777">
      <w:pPr>
        <w:spacing w:after="384" w:afterLines="160"/>
        <w:ind w:left="302" w:hanging="302" w:hangingChars="126"/>
        <w:jc w:val="both"/>
        <w:rPr>
          <w:rFonts w:cs="Calibri"/>
          <w:sz w:val="24"/>
          <w:szCs w:val="24"/>
          <w:lang w:val="es-CO"/>
        </w:rPr>
      </w:pPr>
      <w:r>
        <w:rPr>
          <w:rFonts w:cs="Calibri"/>
          <w:sz w:val="24"/>
          <w:szCs w:val="24"/>
          <w:lang w:val="es-CO"/>
        </w:rPr>
        <w:t xml:space="preserve">TecnoReportaje. (2023). </w:t>
      </w:r>
      <w:r>
        <w:rPr>
          <w:rFonts w:cs="Calibri"/>
          <w:i/>
          <w:iCs/>
          <w:sz w:val="24"/>
          <w:szCs w:val="24"/>
          <w:lang w:val="es-CO"/>
        </w:rPr>
        <w:t>Cómo se clasifican los materiales de construcción según su origen</w:t>
      </w:r>
      <w:r>
        <w:rPr>
          <w:rFonts w:cs="Calibri"/>
          <w:sz w:val="24"/>
          <w:szCs w:val="24"/>
          <w:lang w:val="es-CO"/>
        </w:rPr>
        <w:t xml:space="preserve">. Recuperado de </w:t>
      </w:r>
      <w:hyperlink r:id="rId82">
        <w:r w:rsidR="00527B8C">
          <w:rPr>
            <w:rStyle w:val="Hipervnculo"/>
            <w:rFonts w:cs="Calibri"/>
            <w:sz w:val="24"/>
            <w:szCs w:val="24"/>
            <w:lang w:val="es-CO"/>
          </w:rPr>
          <w:t>https://tecnoreportaje.com/actualidad/como-se-clasifican-los-materiales-de-construccion-segun-su-origen/</w:t>
        </w:r>
      </w:hyperlink>
    </w:p>
    <w:p w:rsidR="00527B8C" w:rsidP="008B0F6E" w:rsidRDefault="00527B8C" w14:paraId="7CA71FF9" w14:textId="77777777">
      <w:pPr>
        <w:spacing w:after="384" w:afterLines="160"/>
        <w:ind w:left="302" w:hanging="302" w:hangingChars="126"/>
        <w:jc w:val="both"/>
        <w:rPr>
          <w:rFonts w:cs="Calibri"/>
          <w:sz w:val="24"/>
          <w:szCs w:val="24"/>
          <w:lang w:val="es-CO"/>
        </w:rPr>
      </w:pPr>
    </w:p>
    <w:p w:rsidR="00527B8C" w:rsidP="008B0F6E" w:rsidRDefault="00212A57" w14:paraId="328280EE" w14:textId="77777777">
      <w:pPr>
        <w:spacing w:after="384" w:afterLines="160"/>
        <w:ind w:left="302" w:hanging="302" w:hangingChars="126"/>
        <w:jc w:val="both"/>
        <w:rPr>
          <w:rFonts w:cs="Calibri"/>
          <w:sz w:val="24"/>
          <w:szCs w:val="24"/>
          <w:lang w:val="es-CO"/>
        </w:rPr>
      </w:pPr>
      <w:r>
        <w:rPr>
          <w:rFonts w:cs="Calibri"/>
          <w:sz w:val="24"/>
          <w:szCs w:val="24"/>
          <w:lang w:val="es-CO"/>
        </w:rPr>
        <w:t xml:space="preserve">UNAL. (2021). </w:t>
      </w:r>
      <w:r>
        <w:rPr>
          <w:rFonts w:cs="Calibri"/>
          <w:i/>
          <w:iCs/>
          <w:sz w:val="24"/>
          <w:szCs w:val="24"/>
          <w:lang w:val="es-CO"/>
        </w:rPr>
        <w:t>Exploración semidetallada de material de arrastre en cuenca del río La Vieja</w:t>
      </w:r>
      <w:r>
        <w:rPr>
          <w:rFonts w:cs="Calibri"/>
          <w:sz w:val="24"/>
          <w:szCs w:val="24"/>
          <w:lang w:val="es-CO"/>
        </w:rPr>
        <w:t xml:space="preserve">. Recuperado de </w:t>
      </w:r>
      <w:hyperlink r:id="rId83">
        <w:r w:rsidR="00527B8C">
          <w:rPr>
            <w:rStyle w:val="Hipervnculo"/>
            <w:rFonts w:cs="Calibri"/>
            <w:sz w:val="24"/>
            <w:szCs w:val="24"/>
            <w:lang w:val="es-CO"/>
          </w:rPr>
          <w:t>https://repositorio.unal.edu.co/bitstreams/1c861444-2ef2-4763-9497-5d47dc1719b4/download</w:t>
        </w:r>
      </w:hyperlink>
    </w:p>
    <w:p w:rsidR="00527B8C" w:rsidP="008B0F6E" w:rsidRDefault="00212A57" w14:paraId="2CB4B8C6" w14:textId="77777777">
      <w:pPr>
        <w:spacing w:after="384" w:afterLines="160"/>
        <w:ind w:left="302" w:hanging="302" w:hangingChars="126"/>
        <w:jc w:val="both"/>
        <w:rPr>
          <w:rFonts w:cs="Calibri"/>
          <w:sz w:val="24"/>
          <w:szCs w:val="24"/>
          <w:lang w:val="es-CO"/>
        </w:rPr>
      </w:pPr>
      <w:r>
        <w:rPr>
          <w:rFonts w:cs="Calibri"/>
          <w:sz w:val="24"/>
          <w:szCs w:val="24"/>
          <w:lang w:val="es-CO"/>
        </w:rPr>
        <w:t xml:space="preserve">UNAL. (2020). </w:t>
      </w:r>
      <w:r>
        <w:rPr>
          <w:rFonts w:cs="Calibri"/>
          <w:i/>
          <w:iCs/>
          <w:sz w:val="24"/>
          <w:szCs w:val="24"/>
          <w:lang w:val="es-CO"/>
        </w:rPr>
        <w:t>Manual de Geología – Ciclo geológico</w:t>
      </w:r>
      <w:r>
        <w:rPr>
          <w:rFonts w:cs="Calibri"/>
          <w:sz w:val="24"/>
          <w:szCs w:val="24"/>
          <w:lang w:val="es-CO"/>
        </w:rPr>
        <w:t xml:space="preserve">. Recuperado de </w:t>
      </w:r>
      <w:hyperlink r:id="rId84">
        <w:r w:rsidR="00527B8C">
          <w:rPr>
            <w:rStyle w:val="Hipervnculo"/>
            <w:rFonts w:cs="Calibri"/>
            <w:sz w:val="24"/>
            <w:szCs w:val="24"/>
            <w:lang w:val="es-CO"/>
          </w:rPr>
          <w:t>https://repositorio.unal.edu.co/bitstreams/1c7826b7-39a8-408b-be68-1536b69324c3/download</w:t>
        </w:r>
      </w:hyperlink>
    </w:p>
    <w:p w:rsidR="00527B8C" w:rsidP="008B0F6E" w:rsidRDefault="00212A57" w14:paraId="1231D8A1" w14:textId="77777777">
      <w:pPr>
        <w:spacing w:after="384" w:afterLines="160"/>
        <w:ind w:left="302" w:hanging="302" w:hangingChars="126"/>
        <w:jc w:val="both"/>
        <w:rPr>
          <w:rFonts w:cs="Calibri"/>
          <w:sz w:val="24"/>
          <w:szCs w:val="24"/>
          <w:lang w:val="es-CO"/>
        </w:rPr>
      </w:pPr>
      <w:r>
        <w:rPr>
          <w:rFonts w:cs="Calibri"/>
          <w:sz w:val="24"/>
          <w:szCs w:val="24"/>
          <w:lang w:val="es-CO"/>
        </w:rPr>
        <w:t xml:space="preserve">UNAM. (2018). </w:t>
      </w:r>
      <w:r>
        <w:rPr>
          <w:rFonts w:cs="Calibri"/>
          <w:i/>
          <w:iCs/>
          <w:sz w:val="24"/>
          <w:szCs w:val="24"/>
          <w:lang w:val="es-CO"/>
        </w:rPr>
        <w:t>Transporte de sedimentos y fuerzas de arrastre</w:t>
      </w:r>
      <w:r>
        <w:rPr>
          <w:rFonts w:cs="Calibri"/>
          <w:sz w:val="24"/>
          <w:szCs w:val="24"/>
          <w:lang w:val="es-CO"/>
        </w:rPr>
        <w:t xml:space="preserve">. Universidad Nacional Autónoma de México. Recuperado de </w:t>
      </w:r>
      <w:hyperlink r:id="rId85">
        <w:r w:rsidR="00527B8C">
          <w:rPr>
            <w:rStyle w:val="Hipervnculo"/>
            <w:rFonts w:cs="Calibri"/>
            <w:sz w:val="24"/>
            <w:szCs w:val="24"/>
            <w:lang w:val="es-CO"/>
          </w:rPr>
          <w:t>http://www.ptolomeo.unam.mx:8080/xmlui/bitstream/handle/132.248.52.100/347/A5.pdf?sequence=5</w:t>
        </w:r>
      </w:hyperlink>
    </w:p>
    <w:p w:rsidR="00527B8C" w:rsidP="008B0F6E" w:rsidRDefault="00212A57" w14:paraId="2B7C600B" w14:textId="77777777">
      <w:pPr>
        <w:spacing w:after="384" w:afterLines="160"/>
        <w:ind w:left="302" w:hanging="302" w:hangingChars="126"/>
        <w:jc w:val="both"/>
        <w:rPr>
          <w:rFonts w:cs="Calibri"/>
          <w:sz w:val="24"/>
          <w:szCs w:val="24"/>
          <w:lang w:val="es-CO"/>
        </w:rPr>
      </w:pPr>
      <w:r>
        <w:rPr>
          <w:rFonts w:cs="Calibri"/>
          <w:sz w:val="24"/>
          <w:szCs w:val="24"/>
          <w:lang w:val="es-CO"/>
        </w:rPr>
        <w:t xml:space="preserve">Universidad de Nariño (UDENAR). (2022). </w:t>
      </w:r>
      <w:r>
        <w:rPr>
          <w:rFonts w:cs="Calibri"/>
          <w:i/>
          <w:iCs/>
          <w:sz w:val="24"/>
          <w:szCs w:val="24"/>
          <w:lang w:val="es-CO"/>
        </w:rPr>
        <w:t>Estudio Tumaco</w:t>
      </w:r>
      <w:r>
        <w:rPr>
          <w:rFonts w:cs="Calibri"/>
          <w:sz w:val="24"/>
          <w:szCs w:val="24"/>
          <w:lang w:val="es-CO"/>
        </w:rPr>
        <w:t xml:space="preserve">. Recuperado de </w:t>
      </w:r>
      <w:hyperlink r:id="rId86">
        <w:r w:rsidR="00527B8C">
          <w:rPr>
            <w:rStyle w:val="Hipervnculo"/>
            <w:rFonts w:cs="Calibri"/>
            <w:sz w:val="24"/>
            <w:szCs w:val="24"/>
            <w:lang w:val="es-CO"/>
          </w:rPr>
          <w:t>https://sired.udenar.edu.co/14727/1/60432.pdf</w:t>
        </w:r>
      </w:hyperlink>
      <w:r>
        <w:rPr>
          <w:rFonts w:cs="Calibri"/>
          <w:sz w:val="24"/>
          <w:szCs w:val="24"/>
          <w:lang w:val="es-CO"/>
        </w:rPr>
        <w:t xml:space="preserve"> </w:t>
      </w:r>
    </w:p>
    <w:p w:rsidR="00527B8C" w:rsidP="008B0F6E" w:rsidRDefault="00212A57" w14:paraId="2BD87D2D" w14:textId="77777777">
      <w:pPr>
        <w:spacing w:after="384" w:afterLines="160"/>
        <w:ind w:left="302" w:hanging="302" w:hangingChars="126"/>
        <w:jc w:val="both"/>
        <w:rPr>
          <w:rFonts w:cs="Calibri"/>
          <w:sz w:val="24"/>
          <w:szCs w:val="24"/>
          <w:lang w:val="es-CO"/>
        </w:rPr>
      </w:pPr>
      <w:r>
        <w:rPr>
          <w:rFonts w:cs="Calibri"/>
          <w:sz w:val="24"/>
          <w:szCs w:val="24"/>
          <w:lang w:val="es-CO"/>
        </w:rPr>
        <w:t xml:space="preserve">Universidad Nacional de Colombia (UNAL). (2021). </w:t>
      </w:r>
      <w:r>
        <w:rPr>
          <w:rFonts w:cs="Calibri"/>
          <w:i/>
          <w:iCs/>
          <w:sz w:val="24"/>
          <w:szCs w:val="24"/>
          <w:lang w:val="es-CO"/>
        </w:rPr>
        <w:t>Exploración semidetallada Río La Vieja</w:t>
      </w:r>
      <w:r>
        <w:rPr>
          <w:rFonts w:cs="Calibri"/>
          <w:sz w:val="24"/>
          <w:szCs w:val="24"/>
          <w:lang w:val="es-CO"/>
        </w:rPr>
        <w:t xml:space="preserve">. Recuperado de </w:t>
      </w:r>
      <w:hyperlink r:id="rId87">
        <w:r w:rsidR="00527B8C">
          <w:rPr>
            <w:rStyle w:val="Hipervnculo"/>
            <w:rFonts w:cs="Calibri"/>
            <w:sz w:val="24"/>
            <w:szCs w:val="24"/>
            <w:lang w:val="es-CO"/>
          </w:rPr>
          <w:t>https://repositorio.unal.edu.co/bitstreams/1c861444-2ef2-4763-9497-5d47dc1719b4/download</w:t>
        </w:r>
      </w:hyperlink>
      <w:r>
        <w:rPr>
          <w:rFonts w:cs="Calibri"/>
          <w:sz w:val="24"/>
          <w:szCs w:val="24"/>
          <w:lang w:val="es-CO"/>
        </w:rPr>
        <w:t xml:space="preserve"> </w:t>
      </w:r>
    </w:p>
    <w:p w:rsidR="00527B8C" w:rsidP="008B0F6E" w:rsidRDefault="00212A57" w14:paraId="5D6A2717" w14:textId="77777777">
      <w:pPr>
        <w:spacing w:after="384" w:afterLines="160"/>
        <w:ind w:left="302" w:hanging="302" w:hangingChars="126"/>
        <w:jc w:val="both"/>
        <w:rPr>
          <w:rFonts w:cs="Calibri"/>
          <w:sz w:val="24"/>
          <w:szCs w:val="24"/>
          <w:lang w:val="es-CO"/>
        </w:rPr>
      </w:pPr>
      <w:r>
        <w:rPr>
          <w:rFonts w:cs="Calibri"/>
          <w:sz w:val="24"/>
          <w:szCs w:val="24"/>
          <w:lang w:val="es-CO"/>
        </w:rPr>
        <w:t xml:space="preserve">Universidad Pedagógica y Tecnológica de Colombia (UPTC). (2019). </w:t>
      </w:r>
      <w:r>
        <w:rPr>
          <w:rFonts w:cs="Calibri"/>
          <w:i/>
          <w:iCs/>
          <w:sz w:val="24"/>
          <w:szCs w:val="24"/>
          <w:lang w:val="es-CO"/>
        </w:rPr>
        <w:t>Método de Diques Transversales</w:t>
      </w:r>
      <w:r>
        <w:rPr>
          <w:rFonts w:cs="Calibri"/>
          <w:sz w:val="24"/>
          <w:szCs w:val="24"/>
          <w:lang w:val="es-CO"/>
        </w:rPr>
        <w:t xml:space="preserve">. Recuperado de </w:t>
      </w:r>
      <w:hyperlink r:id="rId88">
        <w:r w:rsidR="00527B8C">
          <w:rPr>
            <w:rStyle w:val="Hipervnculo"/>
            <w:rFonts w:cs="Calibri"/>
            <w:sz w:val="24"/>
            <w:szCs w:val="24"/>
            <w:lang w:val="es-CO"/>
          </w:rPr>
          <w:t>https://www.uptc.edu.co/export/sites/default/facultades/f_sogamoso/pregrado/minas/documentos/DIQUES_TRANSVERSALES_METODO_DE_EXPLOTACIxN_MINERO_x_AMBIENTAL.pdf</w:t>
        </w:r>
      </w:hyperlink>
    </w:p>
    <w:p w:rsidR="00527B8C" w:rsidP="008B0F6E" w:rsidRDefault="00212A57" w14:paraId="2FF4D697" w14:textId="77777777">
      <w:pPr>
        <w:spacing w:after="384" w:afterLines="160"/>
        <w:ind w:left="302" w:hanging="302" w:hangingChars="126"/>
        <w:jc w:val="both"/>
        <w:rPr>
          <w:rFonts w:cs="Calibri"/>
          <w:sz w:val="24"/>
          <w:szCs w:val="24"/>
          <w:lang w:val="es-CO"/>
        </w:rPr>
      </w:pPr>
      <w:r>
        <w:rPr>
          <w:rFonts w:cs="Calibri"/>
          <w:sz w:val="24"/>
          <w:szCs w:val="24"/>
          <w:lang w:val="es-CO"/>
        </w:rPr>
        <w:t xml:space="preserve">Universidad Popular del Cesar (UNICESAR). (2021). </w:t>
      </w:r>
      <w:r>
        <w:rPr>
          <w:rFonts w:cs="Calibri"/>
          <w:i/>
          <w:iCs/>
          <w:sz w:val="24"/>
          <w:szCs w:val="24"/>
          <w:lang w:val="es-CO"/>
        </w:rPr>
        <w:t>Plan de manejo Río Cesar</w:t>
      </w:r>
      <w:r>
        <w:rPr>
          <w:rFonts w:cs="Calibri"/>
          <w:sz w:val="24"/>
          <w:szCs w:val="24"/>
          <w:lang w:val="es-CO"/>
        </w:rPr>
        <w:t xml:space="preserve">. Recuperado de http://repositorio.unicesar.edu.co/bitstreams/d4bec40b-2a76-47b2-a194-f0c9ab5c8bef/download </w:t>
      </w:r>
    </w:p>
    <w:p w:rsidR="00527B8C" w:rsidP="008B0F6E" w:rsidRDefault="00212A57" w14:paraId="4C05317E" w14:textId="77777777">
      <w:pPr>
        <w:spacing w:after="384" w:afterLines="160"/>
        <w:ind w:left="302" w:hanging="302" w:hangingChars="126"/>
        <w:jc w:val="both"/>
        <w:rPr>
          <w:rFonts w:cs="Calibri"/>
          <w:sz w:val="24"/>
          <w:szCs w:val="24"/>
          <w:lang w:val="es-CO"/>
        </w:rPr>
      </w:pPr>
      <w:r>
        <w:rPr>
          <w:rFonts w:cs="Calibri"/>
          <w:sz w:val="24"/>
          <w:szCs w:val="24"/>
          <w:lang w:val="es-CO"/>
        </w:rPr>
        <w:t xml:space="preserve">UPC. (2021). </w:t>
      </w:r>
      <w:r>
        <w:rPr>
          <w:rFonts w:cs="Calibri"/>
          <w:i/>
          <w:iCs/>
          <w:sz w:val="24"/>
          <w:szCs w:val="24"/>
          <w:lang w:val="es-CO"/>
        </w:rPr>
        <w:t>Dinámica fluvial y morfología de cauces</w:t>
      </w:r>
      <w:r>
        <w:rPr>
          <w:rFonts w:cs="Calibri"/>
          <w:sz w:val="24"/>
          <w:szCs w:val="24"/>
          <w:lang w:val="es-CO"/>
        </w:rPr>
        <w:t xml:space="preserve">. Universitat Politècnica de Catalunya. Recuperado de </w:t>
      </w:r>
      <w:hyperlink r:id="rId89">
        <w:r w:rsidR="00527B8C">
          <w:rPr>
            <w:rStyle w:val="Hipervnculo"/>
            <w:rFonts w:cs="Calibri"/>
            <w:sz w:val="24"/>
            <w:szCs w:val="24"/>
            <w:lang w:val="es-CO"/>
          </w:rPr>
          <w:t>https://deca.upc.edu/es/el-departamento/secciones/itcg/docencia/asignaturas/geolquat/teoria/T4/T4-PFD-fluviales-1</w:t>
        </w:r>
      </w:hyperlink>
    </w:p>
    <w:p w:rsidR="00527B8C" w:rsidP="008B0F6E" w:rsidRDefault="00527B8C" w14:paraId="7E489D97" w14:textId="77777777">
      <w:pPr>
        <w:spacing w:after="384" w:afterLines="160"/>
        <w:ind w:left="302" w:hanging="302" w:hangingChars="126"/>
        <w:jc w:val="both"/>
        <w:rPr>
          <w:rFonts w:cs="Calibri"/>
          <w:sz w:val="24"/>
          <w:szCs w:val="24"/>
          <w:lang w:val="es-CO"/>
        </w:rPr>
      </w:pPr>
    </w:p>
    <w:p w:rsidR="00527B8C" w:rsidP="008B0F6E" w:rsidRDefault="00212A57" w14:paraId="42D29C7F" w14:textId="77777777">
      <w:pPr>
        <w:spacing w:after="384" w:afterLines="160"/>
        <w:ind w:left="302" w:hanging="302" w:hangingChars="126"/>
        <w:jc w:val="both"/>
        <w:rPr>
          <w:rFonts w:cs="Calibri"/>
          <w:sz w:val="24"/>
          <w:szCs w:val="24"/>
          <w:lang w:val="es-CO"/>
        </w:rPr>
      </w:pPr>
      <w:r>
        <w:rPr>
          <w:rFonts w:cs="Calibri"/>
          <w:sz w:val="24"/>
          <w:szCs w:val="24"/>
          <w:lang w:val="es-CO"/>
        </w:rPr>
        <w:t xml:space="preserve">UPTC. (2019). </w:t>
      </w:r>
      <w:r>
        <w:rPr>
          <w:rFonts w:cs="Calibri"/>
          <w:i/>
          <w:iCs/>
          <w:sz w:val="24"/>
          <w:szCs w:val="24"/>
          <w:lang w:val="es-CO"/>
        </w:rPr>
        <w:t>Método de diques transversales</w:t>
      </w:r>
      <w:r>
        <w:rPr>
          <w:rFonts w:cs="Calibri"/>
          <w:sz w:val="24"/>
          <w:szCs w:val="24"/>
          <w:lang w:val="es-CO"/>
        </w:rPr>
        <w:t xml:space="preserve">. Recuperado de </w:t>
      </w:r>
      <w:hyperlink r:id="rId90">
        <w:r w:rsidR="00527B8C">
          <w:rPr>
            <w:rStyle w:val="Hipervnculo"/>
            <w:rFonts w:cs="Calibri"/>
            <w:sz w:val="24"/>
            <w:szCs w:val="24"/>
            <w:lang w:val="es-CO"/>
          </w:rPr>
          <w:t>https://www.uptc.edu.co/export/sites/default/facultades/f_sogamoso/pregrado/minas/documentos/DIQUES_TRANSVERSALES_METODO_DE_EXPLOTACIxN_MINERO_x_AMBIENTAL.pdf</w:t>
        </w:r>
      </w:hyperlink>
    </w:p>
    <w:p w:rsidRPr="00585BB4" w:rsidR="00C70F97" w:rsidP="008B0F6E" w:rsidRDefault="00C70F97" w14:paraId="3FA2F625" w14:textId="7A5B8996">
      <w:pPr>
        <w:spacing w:after="384" w:afterLines="160"/>
        <w:ind w:left="302" w:hanging="302" w:hangingChars="126"/>
        <w:jc w:val="both"/>
        <w:rPr>
          <w:rFonts w:cs="Calibri"/>
          <w:sz w:val="24"/>
          <w:szCs w:val="24"/>
          <w:lang w:val="es-CO"/>
        </w:rPr>
      </w:pPr>
      <w:r w:rsidRPr="00585BB4">
        <w:rPr>
          <w:rFonts w:cs="Calibri"/>
          <w:sz w:val="24"/>
          <w:szCs w:val="24"/>
          <w:lang w:val="en-US"/>
        </w:rPr>
        <w:t xml:space="preserve">World Health Organization. (2017). Guidelines for drinking-water quality (4th ed.). </w:t>
      </w:r>
      <w:r w:rsidRPr="00585BB4">
        <w:rPr>
          <w:rFonts w:cs="Calibri"/>
          <w:sz w:val="24"/>
          <w:szCs w:val="24"/>
          <w:lang w:val="es-CO"/>
        </w:rPr>
        <w:t>Ginebra: WHO Press. Recuperado de https://www.who.int</w:t>
      </w:r>
    </w:p>
    <w:p w:rsidR="00527B8C" w:rsidP="008B0F6E" w:rsidRDefault="00527B8C" w14:paraId="24CA8AAE" w14:textId="77777777">
      <w:pPr>
        <w:spacing w:after="384" w:afterLines="160"/>
        <w:ind w:left="302" w:hanging="302" w:hangingChars="126"/>
        <w:jc w:val="both"/>
        <w:rPr>
          <w:rFonts w:cs="Calibri"/>
          <w:sz w:val="24"/>
          <w:szCs w:val="24"/>
          <w:lang w:val="es-CO"/>
        </w:rPr>
      </w:pPr>
    </w:p>
    <w:p w:rsidRPr="00585BB4" w:rsidR="00785F84" w:rsidP="008B0F6E" w:rsidRDefault="00785F84" w14:paraId="0602A8BB" w14:textId="77777777">
      <w:pPr>
        <w:spacing w:after="384" w:afterLines="160"/>
        <w:ind w:left="302" w:hanging="302" w:hangingChars="126"/>
        <w:jc w:val="both"/>
        <w:rPr>
          <w:rFonts w:cs="Calibri"/>
          <w:sz w:val="24"/>
          <w:szCs w:val="24"/>
          <w:lang w:val="es-CO"/>
        </w:rPr>
      </w:pPr>
    </w:p>
    <w:p w:rsidR="00527B8C" w:rsidP="008B0F6E" w:rsidRDefault="00527B8C" w14:paraId="467ECB16" w14:textId="77777777">
      <w:pPr>
        <w:spacing w:after="384" w:afterLines="160"/>
        <w:ind w:left="302" w:hanging="302" w:hangingChars="126"/>
        <w:jc w:val="both"/>
        <w:rPr>
          <w:rFonts w:cs="Calibri"/>
          <w:sz w:val="24"/>
          <w:szCs w:val="24"/>
          <w:lang w:val="es-CO"/>
        </w:rPr>
      </w:pPr>
    </w:p>
    <w:p w:rsidR="00785F84" w:rsidP="008B0F6E" w:rsidRDefault="00785F84" w14:paraId="741D87CC" w14:textId="77777777">
      <w:pPr>
        <w:spacing w:after="384" w:afterLines="160"/>
        <w:ind w:left="302" w:hanging="302" w:hangingChars="126"/>
        <w:jc w:val="both"/>
        <w:rPr>
          <w:rFonts w:cs="Calibri"/>
          <w:sz w:val="24"/>
          <w:szCs w:val="24"/>
          <w:lang w:val="es-CO"/>
        </w:rPr>
      </w:pPr>
      <w:r w:rsidR="17810B7D">
        <w:drawing>
          <wp:anchor distT="0" distB="0" distL="114300" distR="114300" simplePos="0" relativeHeight="251663360" behindDoc="0" locked="0" layoutInCell="1" allowOverlap="1" wp14:editId="22753EF4" wp14:anchorId="201917B0">
            <wp:simplePos x="0" y="0"/>
            <wp:positionH relativeFrom="column">
              <wp:posOffset>-923925</wp:posOffset>
            </wp:positionH>
            <wp:positionV relativeFrom="paragraph">
              <wp:posOffset>-1266825</wp:posOffset>
            </wp:positionV>
            <wp:extent cx="7944485" cy="14605635"/>
            <wp:effectExtent l="0" t="0" r="0" b="5715"/>
            <wp:wrapNone/>
            <wp:docPr id="75240553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52405539" name="drawing"/>
                    <pic:cNvPicPr>
                      <a:picLocks noChangeAspect="1"/>
                    </pic:cNvPicPr>
                  </pic:nvPicPr>
                  <pic:blipFill>
                    <a:blip xmlns:r="http://schemas.openxmlformats.org/officeDocument/2006/relationships" r:embed="rId91"/>
                    <a:stretch>
                      <a:fillRect/>
                    </a:stretch>
                  </pic:blipFill>
                  <pic:spPr>
                    <a:xfrm>
                      <a:off x="0" y="0"/>
                      <a:ext cx="7944485" cy="14605635"/>
                    </a:xfrm>
                    <a:prstGeom prst="rect">
                      <a:avLst/>
                    </a:prstGeom>
                  </pic:spPr>
                </pic:pic>
              </a:graphicData>
            </a:graphic>
            <wp14:sizeRelH relativeFrom="page">
              <wp14:pctWidth>0</wp14:pctWidth>
            </wp14:sizeRelH>
            <wp14:sizeRelV relativeFrom="page">
              <wp14:pctHeight>0</wp14:pctHeight>
            </wp14:sizeRelV>
          </wp:anchor>
        </w:drawing>
      </w:r>
    </w:p>
    <w:p w:rsidR="00585BB4" w:rsidRDefault="00585BB4" w14:paraId="052D8F2C" w14:textId="77777777">
      <w:pPr>
        <w:spacing w:after="0" w:line="360" w:lineRule="auto"/>
        <w:ind w:left="302" w:hanging="302" w:hangingChars="126"/>
        <w:jc w:val="both"/>
        <w:rPr>
          <w:rFonts w:cs="Calibri"/>
          <w:sz w:val="24"/>
          <w:szCs w:val="24"/>
          <w:lang w:val="es-CO"/>
        </w:rPr>
      </w:pPr>
    </w:p>
    <w:p w:rsidR="00527B8C" w:rsidRDefault="00527B8C" w14:paraId="0941EC8D" w14:textId="77777777">
      <w:pPr>
        <w:spacing w:after="0" w:line="360" w:lineRule="auto"/>
        <w:jc w:val="both"/>
        <w:rPr>
          <w:rFonts w:cs="Calibri"/>
          <w:sz w:val="24"/>
          <w:szCs w:val="24"/>
          <w:lang w:val="es-CO"/>
        </w:rPr>
      </w:pPr>
    </w:p>
    <w:p w:rsidR="00527B8C" w:rsidRDefault="00527B8C" w14:paraId="411CA3BB" w14:textId="77777777">
      <w:pPr>
        <w:spacing w:after="0" w:line="360" w:lineRule="auto"/>
        <w:jc w:val="both"/>
        <w:rPr>
          <w:rFonts w:cs="Calibri"/>
          <w:sz w:val="24"/>
          <w:szCs w:val="24"/>
          <w:lang w:val="es-CO"/>
        </w:rPr>
      </w:pPr>
    </w:p>
    <w:p w:rsidR="00527B8C" w:rsidRDefault="00527B8C" w14:paraId="02C213DB" w14:textId="77777777">
      <w:pPr>
        <w:spacing w:after="0" w:line="360" w:lineRule="auto"/>
        <w:jc w:val="both"/>
        <w:rPr>
          <w:rFonts w:cs="Calibri"/>
          <w:sz w:val="24"/>
          <w:szCs w:val="24"/>
          <w:lang w:val="es-CO"/>
        </w:rPr>
      </w:pPr>
    </w:p>
    <w:p w:rsidR="00527B8C" w:rsidRDefault="00527B8C" w14:paraId="6A8060A5" w14:textId="77777777">
      <w:pPr>
        <w:spacing w:after="0" w:line="360" w:lineRule="auto"/>
        <w:jc w:val="both"/>
        <w:rPr>
          <w:rFonts w:cs="Calibri"/>
          <w:sz w:val="24"/>
          <w:szCs w:val="24"/>
          <w:lang w:val="es-CO"/>
        </w:rPr>
      </w:pPr>
    </w:p>
    <w:p w:rsidR="00527B8C" w:rsidRDefault="00527B8C" w14:paraId="5A087A9A" w14:textId="1B606EDF">
      <w:pPr>
        <w:spacing w:after="0" w:line="360" w:lineRule="auto"/>
        <w:jc w:val="both"/>
        <w:rPr>
          <w:rFonts w:cs="Calibri"/>
          <w:sz w:val="24"/>
          <w:szCs w:val="24"/>
          <w:lang w:val="es-CO"/>
        </w:rPr>
      </w:pPr>
    </w:p>
    <w:p w:rsidR="00527B8C" w:rsidRDefault="00527B8C" w14:paraId="12543C91" w14:textId="61A67FB5">
      <w:pPr>
        <w:spacing w:after="0" w:line="360" w:lineRule="auto"/>
        <w:jc w:val="both"/>
        <w:rPr>
          <w:rFonts w:cs="Calibri"/>
          <w:sz w:val="24"/>
          <w:szCs w:val="24"/>
          <w:lang w:val="es-CO"/>
        </w:rPr>
      </w:pPr>
    </w:p>
    <w:p w:rsidR="00527B8C" w:rsidRDefault="00527B8C" w14:paraId="44A43941" w14:textId="611BBA58">
      <w:pPr>
        <w:spacing w:after="0" w:line="360" w:lineRule="auto"/>
        <w:jc w:val="both"/>
        <w:rPr>
          <w:rFonts w:cs="Calibri"/>
          <w:sz w:val="24"/>
          <w:szCs w:val="24"/>
          <w:lang w:val="es-CO"/>
        </w:rPr>
      </w:pPr>
    </w:p>
    <w:p w:rsidR="00527B8C" w:rsidRDefault="00527B8C" w14:paraId="6B353D64" w14:textId="67E35896">
      <w:pPr>
        <w:spacing w:after="0" w:line="360" w:lineRule="auto"/>
        <w:jc w:val="both"/>
        <w:rPr>
          <w:rFonts w:cs="Calibri"/>
          <w:sz w:val="24"/>
          <w:szCs w:val="24"/>
          <w:lang w:val="es-CO"/>
        </w:rPr>
      </w:pPr>
    </w:p>
    <w:p w:rsidR="00527B8C" w:rsidRDefault="00527B8C" w14:paraId="748109CE" w14:textId="6502C40B">
      <w:pPr>
        <w:spacing w:after="0" w:line="360" w:lineRule="auto"/>
        <w:jc w:val="both"/>
        <w:rPr>
          <w:rFonts w:cs="Calibri"/>
          <w:sz w:val="24"/>
          <w:szCs w:val="24"/>
          <w:lang w:val="es-CO"/>
        </w:rPr>
      </w:pPr>
    </w:p>
    <w:p w:rsidR="00527B8C" w:rsidRDefault="00527B8C" w14:paraId="15621402" w14:textId="52649681">
      <w:pPr>
        <w:spacing w:after="0" w:line="360" w:lineRule="auto"/>
        <w:jc w:val="both"/>
        <w:rPr>
          <w:rFonts w:cs="Calibri"/>
          <w:sz w:val="24"/>
          <w:szCs w:val="24"/>
          <w:lang w:val="es-CO"/>
        </w:rPr>
      </w:pPr>
    </w:p>
    <w:p w:rsidR="00527B8C" w:rsidRDefault="00527B8C" w14:paraId="6EA6410E" w14:textId="6A2213AB">
      <w:pPr>
        <w:spacing w:after="0" w:line="360" w:lineRule="auto"/>
        <w:jc w:val="both"/>
        <w:rPr>
          <w:rFonts w:cs="Calibri"/>
          <w:sz w:val="24"/>
          <w:szCs w:val="24"/>
          <w:lang w:val="es-CO"/>
        </w:rPr>
      </w:pPr>
    </w:p>
    <w:p w:rsidR="00527B8C" w:rsidRDefault="00527B8C" w14:paraId="7B1A95FE" w14:textId="77777777">
      <w:pPr>
        <w:spacing w:after="0" w:line="360" w:lineRule="auto"/>
        <w:jc w:val="both"/>
        <w:rPr>
          <w:rFonts w:cs="Calibri"/>
          <w:sz w:val="24"/>
          <w:szCs w:val="24"/>
          <w:lang w:val="es-CO"/>
        </w:rPr>
      </w:pPr>
    </w:p>
    <w:p w:rsidR="00527B8C" w:rsidRDefault="00527B8C" w14:paraId="45F91E4B" w14:textId="77777777">
      <w:pPr>
        <w:spacing w:after="0" w:line="360" w:lineRule="auto"/>
        <w:jc w:val="both"/>
        <w:rPr>
          <w:rFonts w:cs="Calibri"/>
          <w:sz w:val="24"/>
          <w:szCs w:val="24"/>
          <w:lang w:val="es-CO"/>
        </w:rPr>
      </w:pPr>
    </w:p>
    <w:p w:rsidR="00527B8C" w:rsidRDefault="00527B8C" w14:paraId="010C082E" w14:textId="77777777">
      <w:pPr>
        <w:spacing w:after="0" w:line="360" w:lineRule="auto"/>
        <w:jc w:val="both"/>
        <w:rPr>
          <w:rFonts w:cs="Calibri"/>
          <w:sz w:val="24"/>
          <w:szCs w:val="24"/>
          <w:lang w:val="es-CO"/>
        </w:rPr>
      </w:pPr>
    </w:p>
    <w:p w:rsidR="00527B8C" w:rsidRDefault="00527B8C" w14:paraId="0984887F" w14:textId="17D24E5A">
      <w:pPr>
        <w:spacing w:after="0" w:line="360" w:lineRule="auto"/>
        <w:jc w:val="both"/>
        <w:rPr>
          <w:rFonts w:cs="Calibri"/>
          <w:sz w:val="24"/>
          <w:szCs w:val="24"/>
          <w:lang w:val="es-CO"/>
        </w:rPr>
      </w:pPr>
    </w:p>
    <w:p w:rsidR="00527B8C" w:rsidRDefault="008B0F6E" w14:paraId="3C753359" w14:textId="77EEA937">
      <w:pPr>
        <w:spacing w:after="0" w:line="360" w:lineRule="auto"/>
        <w:jc w:val="both"/>
        <w:rPr>
          <w:rFonts w:cs="Calibri"/>
          <w:sz w:val="24"/>
          <w:szCs w:val="24"/>
          <w:lang w:val="es-CO"/>
        </w:rPr>
      </w:pPr>
    </w:p>
    <w:p w:rsidR="00527B8C" w:rsidRDefault="00527B8C" w14:paraId="501B8141" w14:textId="77777777">
      <w:pPr>
        <w:spacing w:after="0" w:line="360" w:lineRule="auto"/>
        <w:jc w:val="both"/>
        <w:rPr>
          <w:rFonts w:cs="Calibri"/>
          <w:sz w:val="24"/>
          <w:szCs w:val="24"/>
          <w:lang w:val="es-CO"/>
        </w:rPr>
      </w:pPr>
    </w:p>
    <w:p w:rsidR="00527B8C" w:rsidRDefault="00527B8C" w14:paraId="4A3A768D" w14:textId="77777777">
      <w:pPr>
        <w:spacing w:after="0" w:line="360" w:lineRule="auto"/>
        <w:jc w:val="both"/>
        <w:rPr>
          <w:rFonts w:cs="Calibri"/>
          <w:sz w:val="24"/>
          <w:szCs w:val="24"/>
          <w:lang w:val="es-CO"/>
        </w:rPr>
      </w:pPr>
    </w:p>
    <w:p w:rsidR="00527B8C" w:rsidRDefault="00527B8C" w14:paraId="3FE2D431" w14:textId="77777777">
      <w:pPr>
        <w:spacing w:after="0" w:line="360" w:lineRule="auto"/>
        <w:jc w:val="both"/>
        <w:rPr>
          <w:rFonts w:cs="Calibri"/>
          <w:sz w:val="24"/>
          <w:szCs w:val="24"/>
          <w:lang w:val="es-CO"/>
        </w:rPr>
      </w:pPr>
    </w:p>
    <w:p w:rsidR="00527B8C" w:rsidRDefault="00527B8C" w14:paraId="7BF334E3" w14:textId="77777777">
      <w:pPr>
        <w:spacing w:after="0" w:line="360" w:lineRule="auto"/>
        <w:jc w:val="both"/>
        <w:rPr>
          <w:rFonts w:cs="Calibri"/>
          <w:sz w:val="24"/>
          <w:szCs w:val="24"/>
          <w:lang w:val="es-CO"/>
        </w:rPr>
      </w:pPr>
    </w:p>
    <w:p w:rsidR="00527B8C" w:rsidRDefault="00527B8C" w14:paraId="3C40E78B" w14:textId="77777777">
      <w:pPr>
        <w:spacing w:after="0" w:line="360" w:lineRule="auto"/>
        <w:jc w:val="both"/>
        <w:rPr>
          <w:rFonts w:cs="Calibri"/>
          <w:sz w:val="24"/>
          <w:szCs w:val="24"/>
          <w:lang w:val="es-CO"/>
        </w:rPr>
      </w:pPr>
    </w:p>
    <w:p w:rsidR="00527B8C" w:rsidRDefault="00527B8C" w14:paraId="20FF9BBC" w14:textId="77777777">
      <w:pPr>
        <w:spacing w:after="0" w:line="360" w:lineRule="auto"/>
        <w:jc w:val="both"/>
        <w:rPr>
          <w:rFonts w:cs="Calibri"/>
          <w:sz w:val="24"/>
          <w:szCs w:val="24"/>
          <w:lang w:val="es-CO"/>
        </w:rPr>
      </w:pPr>
    </w:p>
    <w:p w:rsidR="00527B8C" w:rsidRDefault="00527B8C" w14:paraId="090645C7" w14:textId="77777777">
      <w:pPr>
        <w:spacing w:after="0" w:line="360" w:lineRule="auto"/>
        <w:jc w:val="both"/>
        <w:rPr>
          <w:rFonts w:cs="Calibri"/>
          <w:sz w:val="24"/>
          <w:szCs w:val="24"/>
          <w:lang w:val="es-CO"/>
        </w:rPr>
      </w:pPr>
    </w:p>
    <w:p w:rsidR="00527B8C" w:rsidRDefault="00527B8C" w14:paraId="50AFABE6" w14:textId="77777777">
      <w:pPr>
        <w:spacing w:after="0" w:line="360" w:lineRule="auto"/>
        <w:jc w:val="both"/>
        <w:rPr>
          <w:rFonts w:cs="Calibri"/>
          <w:sz w:val="24"/>
          <w:szCs w:val="24"/>
          <w:lang w:val="es-CO"/>
        </w:rPr>
      </w:pPr>
    </w:p>
    <w:sectPr w:rsidR="00527B8C">
      <w:headerReference w:type="even" r:id="rId92"/>
      <w:headerReference w:type="default" r:id="rId93"/>
      <w:footerReference w:type="even" r:id="rId94"/>
      <w:footerReference w:type="default" r:id="rId95"/>
      <w:headerReference w:type="first" r:id="rId96"/>
      <w:footerReference w:type="first" r:id="rId97"/>
      <w:pgSz w:w="12240" w:h="15840" w:orient="portrait"/>
      <w:pgMar w:top="1440" w:right="1440" w:bottom="1440" w:left="1440" w:header="720" w:footer="720" w:gutter="0"/>
      <w:cols w:space="720"/>
      <w:docGrid w:linePitch="360"/>
      <w:titlePg w:val="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12A57" w:rsidRDefault="00212A57" w14:paraId="74A82349" w14:textId="77777777">
      <w:pPr>
        <w:spacing w:line="240" w:lineRule="auto"/>
      </w:pPr>
      <w:r>
        <w:separator/>
      </w:r>
    </w:p>
  </w:endnote>
  <w:endnote w:type="continuationSeparator" w:id="0">
    <w:p w:rsidR="00212A57" w:rsidRDefault="00212A57" w14:paraId="53EE489A"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ndara">
    <w:panose1 w:val="020E0502030303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27B8C" w:rsidRDefault="00527B8C" w14:paraId="22FC0E11" w14:textId="77777777"/>
  <w:p w:rsidR="00527B8C" w:rsidRDefault="00527B8C" w14:paraId="3AB45FB1" w14:textId="77777777"/>
  <w:tbl>
    <w:tblPr>
      <w:tblW w:w="0" w:type="auto"/>
      <w:tblLook w:val="04A0" w:firstRow="1" w:lastRow="0" w:firstColumn="1" w:lastColumn="0" w:noHBand="0" w:noVBand="1"/>
    </w:tblPr>
    <w:tblGrid>
      <w:gridCol w:w="2880"/>
      <w:gridCol w:w="2880"/>
      <w:gridCol w:w="2880"/>
    </w:tblGrid>
    <w:tr w:rsidR="00527B8C" w14:paraId="449528A2" w14:textId="77777777">
      <w:trPr>
        <w:trHeight w:val="300"/>
      </w:trPr>
      <w:tc>
        <w:tcPr>
          <w:tcW w:w="2880" w:type="dxa"/>
        </w:tcPr>
        <w:p w:rsidR="00527B8C" w:rsidRDefault="00527B8C" w14:paraId="34C7E803" w14:textId="77777777">
          <w:pPr>
            <w:pStyle w:val="Encabezado"/>
            <w:ind w:left="-115"/>
          </w:pPr>
        </w:p>
      </w:tc>
      <w:tc>
        <w:tcPr>
          <w:tcW w:w="2880" w:type="dxa"/>
        </w:tcPr>
        <w:p w:rsidR="00527B8C" w:rsidRDefault="00527B8C" w14:paraId="741C8557" w14:textId="77777777">
          <w:pPr>
            <w:pStyle w:val="Encabezado"/>
            <w:jc w:val="center"/>
          </w:pPr>
        </w:p>
      </w:tc>
      <w:tc>
        <w:tcPr>
          <w:tcW w:w="2880" w:type="dxa"/>
        </w:tcPr>
        <w:p w:rsidR="00527B8C" w:rsidRDefault="00527B8C" w14:paraId="05345B09" w14:textId="77777777">
          <w:pPr>
            <w:pStyle w:val="Encabezado"/>
            <w:ind w:right="-115"/>
            <w:jc w:val="right"/>
          </w:pPr>
        </w:p>
      </w:tc>
    </w:tr>
  </w:tbl>
  <w:p w:rsidR="00527B8C" w:rsidRDefault="00527B8C" w14:paraId="2944A9D1" w14:textId="777777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527B8C" w:rsidP="53DEF7DD" w:rsidRDefault="00527B8C" w14:paraId="4FAA8219" w14:textId="111B2D04">
    <w:pPr>
      <w:pStyle w:val="Piedepgina"/>
      <w:jc w:val="right"/>
    </w:pPr>
    <w:r w:rsidR="6AB0AF11">
      <w:drawing>
        <wp:anchor distT="0" distB="0" distL="114300" distR="114300" simplePos="0" relativeHeight="251658240" behindDoc="0" locked="0" layoutInCell="1" allowOverlap="1" wp14:anchorId="0DA5920B" wp14:editId="59BB2F26">
          <wp:simplePos x="0" y="0"/>
          <wp:positionH relativeFrom="column">
            <wp:align>left</wp:align>
          </wp:positionH>
          <wp:positionV relativeFrom="paragraph">
            <wp:posOffset>0</wp:posOffset>
          </wp:positionV>
          <wp:extent cx="5857893" cy="628662"/>
          <wp:effectExtent l="0" t="0" r="0" b="0"/>
          <wp:wrapNone/>
          <wp:docPr id="166033175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660331753" name="Picture 1660331753"/>
                  <pic:cNvPicPr/>
                </pic:nvPicPr>
                <pic:blipFill>
                  <a:blip xmlns:r="http://schemas.openxmlformats.org/officeDocument/2006/relationships" r:embed="rId415330947">
                    <a:extLst>
                      <a:ext uri="{28A0092B-C50C-407E-A947-70E740481C1C}">
                        <a14:useLocalDpi xmlns:a14="http://schemas.microsoft.com/office/drawing/2010/main"/>
                      </a:ext>
                    </a:extLst>
                  </a:blip>
                  <a:stretch>
                    <a:fillRect/>
                  </a:stretch>
                  <a:srcRect l="1442" t="76678" r="0" b="0"/>
                </pic:blipFill>
                <pic:spPr>
                  <a:xfrm rot="0">
                    <a:off x="0" y="0"/>
                    <a:ext cx="5857893" cy="628662"/>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27B8C" w:rsidRDefault="00527B8C" w14:paraId="066ECBB2" w14:textId="77777777"/>
  <w:tbl>
    <w:tblPr>
      <w:tblW w:w="0" w:type="auto"/>
      <w:tblLook w:val="04A0" w:firstRow="1" w:lastRow="0" w:firstColumn="1" w:lastColumn="0" w:noHBand="0" w:noVBand="1"/>
    </w:tblPr>
    <w:tblGrid>
      <w:gridCol w:w="2880"/>
      <w:gridCol w:w="2880"/>
      <w:gridCol w:w="2880"/>
    </w:tblGrid>
    <w:tr w:rsidR="00527B8C" w14:paraId="53F8C039" w14:textId="77777777">
      <w:trPr>
        <w:trHeight w:val="300"/>
      </w:trPr>
      <w:tc>
        <w:tcPr>
          <w:tcW w:w="2880" w:type="dxa"/>
        </w:tcPr>
        <w:p w:rsidR="00527B8C" w:rsidRDefault="00527B8C" w14:paraId="6389226F" w14:textId="77777777">
          <w:pPr>
            <w:pStyle w:val="Encabezado"/>
            <w:ind w:left="-115"/>
          </w:pPr>
        </w:p>
      </w:tc>
      <w:tc>
        <w:tcPr>
          <w:tcW w:w="2880" w:type="dxa"/>
        </w:tcPr>
        <w:p w:rsidR="00527B8C" w:rsidRDefault="00527B8C" w14:paraId="1EFAF410" w14:textId="77777777">
          <w:pPr>
            <w:pStyle w:val="Encabezado"/>
            <w:jc w:val="center"/>
          </w:pPr>
        </w:p>
      </w:tc>
      <w:tc>
        <w:tcPr>
          <w:tcW w:w="2880" w:type="dxa"/>
        </w:tcPr>
        <w:p w:rsidR="00527B8C" w:rsidRDefault="00527B8C" w14:paraId="1C71C755" w14:textId="77777777">
          <w:pPr>
            <w:pStyle w:val="Encabezado"/>
            <w:ind w:right="-115"/>
            <w:jc w:val="right"/>
          </w:pPr>
        </w:p>
      </w:tc>
    </w:tr>
  </w:tbl>
  <w:p w:rsidR="00527B8C" w:rsidRDefault="00527B8C" w14:paraId="08F33B54" w14:textId="77777777">
    <w:pPr>
      <w:pStyle w:val="Piedepgina"/>
    </w:pPr>
  </w:p>
  <w:p w:rsidR="00527B8C" w:rsidRDefault="00527B8C" w14:paraId="7637B937" w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12A57" w:rsidRDefault="00212A57" w14:paraId="7584D252" w14:textId="77777777">
      <w:pPr>
        <w:spacing w:after="0"/>
      </w:pPr>
      <w:r>
        <w:separator/>
      </w:r>
    </w:p>
  </w:footnote>
  <w:footnote w:type="continuationSeparator" w:id="0">
    <w:p w:rsidR="00212A57" w:rsidRDefault="00212A57" w14:paraId="33E207BF" w14:textId="77777777">
      <w:pPr>
        <w:spacing w:after="0"/>
      </w:pPr>
      <w:r>
        <w:continuationSeparator/>
      </w:r>
    </w:p>
  </w:footnote>
  <w:footnote w:id="1">
    <w:p w:rsidR="00527B8C" w:rsidRDefault="00212A57" w14:paraId="245A7845" w14:textId="77777777">
      <w:pPr>
        <w:pStyle w:val="Textonotapie"/>
        <w:ind w:left="252" w:hanging="252" w:hangingChars="126"/>
        <w:jc w:val="both"/>
        <w:rPr>
          <w:rFonts w:cs="Calibri"/>
          <w:lang w:val="es-CO"/>
        </w:rPr>
      </w:pPr>
      <w:r>
        <w:rPr>
          <w:rStyle w:val="Refdenotaalpie"/>
          <w:rFonts w:cs="Calibri"/>
        </w:rPr>
        <w:footnoteRef/>
      </w:r>
      <w:r>
        <w:rPr>
          <w:rFonts w:cs="Calibri"/>
          <w:lang w:val="es-CO"/>
        </w:rPr>
        <w:t xml:space="preserve"> Padua Materiales. (2023). </w:t>
      </w:r>
      <w:r>
        <w:rPr>
          <w:rFonts w:cs="Calibri"/>
          <w:i/>
          <w:iCs/>
          <w:lang w:val="es-CO"/>
        </w:rPr>
        <w:t>Materiales de construcción: definición y composición</w:t>
      </w:r>
      <w:r>
        <w:rPr>
          <w:rFonts w:cs="Calibri"/>
          <w:lang w:val="es-CO"/>
        </w:rPr>
        <w:t xml:space="preserve">. Recuperado de </w:t>
      </w:r>
      <w:hyperlink w:tgtFrame="_blank" w:history="1" r:id="rId1">
        <w:r w:rsidR="00527B8C">
          <w:rPr>
            <w:rStyle w:val="Hipervnculo"/>
            <w:rFonts w:cs="Calibri"/>
            <w:lang w:val="es-CO"/>
          </w:rPr>
          <w:t>https://paduamateriales.com/materiales-de-la-construccion-definicion-composicion/</w:t>
        </w:r>
      </w:hyperlink>
    </w:p>
    <w:p w:rsidR="00527B8C" w:rsidRDefault="00212A57" w14:paraId="3DC4A77D" w14:textId="77777777">
      <w:pPr>
        <w:pStyle w:val="Textonotapie"/>
        <w:ind w:left="252" w:hanging="252" w:hangingChars="126"/>
        <w:jc w:val="both"/>
        <w:rPr>
          <w:rFonts w:cs="Calibri"/>
          <w:lang w:val="es-CO"/>
        </w:rPr>
      </w:pPr>
      <w:r>
        <w:rPr>
          <w:rFonts w:cs="Calibri"/>
          <w:lang w:val="es-CO"/>
        </w:rPr>
        <w:t xml:space="preserve">Materialesdeconstruccion.pro. (2023). </w:t>
      </w:r>
      <w:r>
        <w:rPr>
          <w:rFonts w:cs="Calibri"/>
          <w:i/>
          <w:iCs/>
          <w:lang w:val="es-CO"/>
        </w:rPr>
        <w:t>¿Qué es material de construcción?</w:t>
      </w:r>
      <w:r>
        <w:rPr>
          <w:rFonts w:cs="Calibri"/>
          <w:lang w:val="es-CO"/>
        </w:rPr>
        <w:t xml:space="preserve">. Recuperado de </w:t>
      </w:r>
      <w:hyperlink w:tgtFrame="_blank" w:history="1" r:id="rId2">
        <w:r w:rsidR="00527B8C">
          <w:rPr>
            <w:rStyle w:val="Hipervnculo"/>
            <w:rFonts w:cs="Calibri"/>
            <w:lang w:val="es-CO"/>
          </w:rPr>
          <w:t>https://materialesdeconstruccion.pro/que-es-material-de-construccion/</w:t>
        </w:r>
      </w:hyperlink>
    </w:p>
    <w:p w:rsidR="00527B8C" w:rsidRDefault="00212A57" w14:paraId="3C5A37A2" w14:textId="77777777">
      <w:pPr>
        <w:pStyle w:val="Textonotapie"/>
        <w:ind w:left="252" w:hanging="252" w:hangingChars="126"/>
        <w:jc w:val="both"/>
        <w:rPr>
          <w:rFonts w:cs="Calibri"/>
          <w:lang w:val="es-CO"/>
        </w:rPr>
      </w:pPr>
      <w:r>
        <w:rPr>
          <w:rFonts w:cs="Calibri"/>
          <w:lang w:val="es-CO"/>
        </w:rPr>
        <w:t xml:space="preserve">E-Construir. (2023). </w:t>
      </w:r>
      <w:r>
        <w:rPr>
          <w:rFonts w:cs="Calibri"/>
          <w:i/>
          <w:iCs/>
          <w:lang w:val="es-CO"/>
        </w:rPr>
        <w:t>Clasificación y usos de materiales de construcción</w:t>
      </w:r>
      <w:r>
        <w:rPr>
          <w:rFonts w:cs="Calibri"/>
          <w:lang w:val="es-CO"/>
        </w:rPr>
        <w:t>. Recuperado de https://e-construir.com</w:t>
      </w:r>
    </w:p>
  </w:footnote>
  <w:footnote w:id="2">
    <w:p w:rsidR="00527B8C" w:rsidRDefault="00212A57" w14:paraId="6C1517CB" w14:textId="77777777">
      <w:pPr>
        <w:pStyle w:val="Textonotapie"/>
        <w:ind w:left="252" w:hanging="252" w:hangingChars="126"/>
        <w:rPr>
          <w:rFonts w:cs="Calibri"/>
          <w:lang w:val="es-CO"/>
        </w:rPr>
      </w:pPr>
      <w:r>
        <w:rPr>
          <w:rStyle w:val="Refdenotaalpie"/>
          <w:rFonts w:cs="Calibri"/>
        </w:rPr>
        <w:footnoteRef/>
      </w:r>
      <w:r>
        <w:rPr>
          <w:rFonts w:cs="Calibri"/>
          <w:lang w:val="es-CO"/>
        </w:rPr>
        <w:t xml:space="preserve"> Leyes.co. (2001). </w:t>
      </w:r>
      <w:r>
        <w:rPr>
          <w:rFonts w:cs="Calibri"/>
          <w:i/>
          <w:iCs/>
          <w:lang w:val="es-CO"/>
        </w:rPr>
        <w:t>Código de Minas – Artículo 11</w:t>
      </w:r>
      <w:r>
        <w:rPr>
          <w:rFonts w:cs="Calibri"/>
          <w:lang w:val="es-CO"/>
        </w:rPr>
        <w:t xml:space="preserve">. Recuperado de </w:t>
      </w:r>
      <w:hyperlink w:history="1" r:id="rId3">
        <w:r w:rsidR="00527B8C">
          <w:rPr>
            <w:rStyle w:val="Hipervnculo"/>
            <w:rFonts w:cs="Calibri"/>
            <w:lang w:val="es-CO"/>
          </w:rPr>
          <w:t>https://leyes.co/codigo_de_minas/11.htm</w:t>
        </w:r>
      </w:hyperlink>
    </w:p>
  </w:footnote>
  <w:footnote w:id="3">
    <w:p w:rsidR="00527B8C" w:rsidRDefault="00212A57" w14:paraId="003EADB4" w14:textId="77777777">
      <w:pPr>
        <w:pStyle w:val="Textonotapie"/>
        <w:ind w:left="252" w:hanging="252" w:hangingChars="126"/>
        <w:jc w:val="both"/>
        <w:rPr>
          <w:rFonts w:cs="Calibri"/>
          <w:lang w:val="es-CO"/>
        </w:rPr>
      </w:pPr>
      <w:r>
        <w:rPr>
          <w:rStyle w:val="Refdenotaalpie"/>
          <w:rFonts w:cs="Calibri"/>
        </w:rPr>
        <w:footnoteRef/>
      </w:r>
      <w:r>
        <w:rPr>
          <w:rFonts w:cs="Calibri"/>
          <w:lang w:val="es-CO"/>
        </w:rPr>
        <w:t xml:space="preserve"> Todopedia. (2022). </w:t>
      </w:r>
      <w:r>
        <w:rPr>
          <w:rFonts w:cs="Calibri"/>
          <w:i/>
          <w:iCs/>
          <w:lang w:val="es-CO"/>
        </w:rPr>
        <w:t>Materiales pétreos naturales y clasificación geológica</w:t>
      </w:r>
      <w:r>
        <w:rPr>
          <w:rFonts w:cs="Calibri"/>
          <w:lang w:val="es-CO"/>
        </w:rPr>
        <w:t xml:space="preserve">. Recuperado de </w:t>
      </w:r>
      <w:hyperlink w:tgtFrame="_blank" w:history="1" r:id="rId4">
        <w:r w:rsidR="00527B8C">
          <w:rPr>
            <w:rStyle w:val="Hipervnculo"/>
            <w:rFonts w:cs="Calibri"/>
            <w:lang w:val="es-CO"/>
          </w:rPr>
          <w:t>https://www.todopedia.online/materiales-petreos-naturales-rocas-y-granulares-clasificacion-caracteristicas-procedencia-y-aplicaciones-23384</w:t>
        </w:r>
      </w:hyperlink>
    </w:p>
    <w:p w:rsidR="00527B8C" w:rsidRDefault="00212A57" w14:paraId="7F9A75AE" w14:textId="77777777">
      <w:pPr>
        <w:pStyle w:val="Textonotapie"/>
        <w:ind w:left="252" w:hanging="252" w:hangingChars="126"/>
        <w:jc w:val="both"/>
        <w:rPr>
          <w:rFonts w:cs="Calibri"/>
          <w:lang w:val="es-CO"/>
        </w:rPr>
      </w:pPr>
      <w:r>
        <w:rPr>
          <w:rFonts w:cs="Calibri"/>
          <w:lang w:val="es-CO"/>
        </w:rPr>
        <w:t xml:space="preserve">Materialesdeconstruccion.net. (2023). </w:t>
      </w:r>
      <w:r>
        <w:rPr>
          <w:rFonts w:cs="Calibri"/>
          <w:i/>
          <w:iCs/>
          <w:lang w:val="es-CO"/>
        </w:rPr>
        <w:t>Tipos de rocas y su uso en construcción</w:t>
      </w:r>
      <w:r>
        <w:rPr>
          <w:rFonts w:cs="Calibri"/>
          <w:lang w:val="es-CO"/>
        </w:rPr>
        <w:t xml:space="preserve">. Recuperado de </w:t>
      </w:r>
      <w:hyperlink w:tgtFrame="_blank" w:history="1" r:id="rId5">
        <w:r w:rsidR="00527B8C">
          <w:rPr>
            <w:rStyle w:val="Hipervnculo"/>
            <w:rFonts w:cs="Calibri"/>
            <w:lang w:val="es-CO"/>
          </w:rPr>
          <w:t>https://materialesdeconstruccion.net/rocas/tipos-de-rocas/</w:t>
        </w:r>
      </w:hyperlink>
    </w:p>
  </w:footnote>
  <w:footnote w:id="4">
    <w:p w:rsidR="00527B8C" w:rsidRDefault="00212A57" w14:paraId="63A18341" w14:textId="77777777">
      <w:pPr>
        <w:pStyle w:val="Textonotapie"/>
        <w:ind w:left="252" w:hanging="252" w:hangingChars="126"/>
        <w:jc w:val="both"/>
        <w:rPr>
          <w:rFonts w:cs="Calibri"/>
          <w:lang w:val="es-CO"/>
        </w:rPr>
      </w:pPr>
      <w:r>
        <w:rPr>
          <w:rStyle w:val="Refdenotaalpie"/>
          <w:rFonts w:cs="Calibri"/>
        </w:rPr>
        <w:footnoteRef/>
      </w:r>
      <w:r>
        <w:rPr>
          <w:rFonts w:cs="Calibri"/>
          <w:lang w:val="es-CO"/>
        </w:rPr>
        <w:t xml:space="preserve"> Universidad Nacional de Colombia (UNAL). (2021). </w:t>
      </w:r>
      <w:r>
        <w:rPr>
          <w:rFonts w:cs="Calibri"/>
          <w:i/>
          <w:iCs/>
          <w:lang w:val="es-CO"/>
        </w:rPr>
        <w:t>Exploración semidetallada de material de arrastre en cuenca del río La Vieja</w:t>
      </w:r>
      <w:r>
        <w:rPr>
          <w:rFonts w:cs="Calibri"/>
          <w:lang w:val="es-CO"/>
        </w:rPr>
        <w:t xml:space="preserve">. Recuperado de </w:t>
      </w:r>
      <w:hyperlink w:tgtFrame="_blank" w:history="1" r:id="rId6">
        <w:r w:rsidR="00527B8C">
          <w:rPr>
            <w:rStyle w:val="Hipervnculo"/>
            <w:rFonts w:cs="Calibri"/>
            <w:lang w:val="es-CO"/>
          </w:rPr>
          <w:t>https://repositorio.unal.edu.co/bitstreams/1c861444-2ef2-4763-9497-5d47dc1719b4/download</w:t>
        </w:r>
      </w:hyperlink>
    </w:p>
    <w:p w:rsidR="00527B8C" w:rsidRDefault="00212A57" w14:paraId="4635442E" w14:textId="77777777">
      <w:pPr>
        <w:pStyle w:val="Textonotapie"/>
        <w:ind w:left="252" w:hanging="252" w:hangingChars="126"/>
        <w:jc w:val="both"/>
        <w:rPr>
          <w:rFonts w:cs="Calibri"/>
          <w:lang w:val="es-CO"/>
        </w:rPr>
      </w:pPr>
      <w:r>
        <w:rPr>
          <w:rFonts w:cs="Calibri"/>
          <w:lang w:val="es-CO"/>
        </w:rPr>
        <w:t xml:space="preserve">1Library. (2022). </w:t>
      </w:r>
      <w:r>
        <w:rPr>
          <w:rFonts w:cs="Calibri"/>
          <w:i/>
          <w:iCs/>
          <w:lang w:val="es-CO"/>
        </w:rPr>
        <w:t>Factores geomorfológicos y agregados pétreos – Huila</w:t>
      </w:r>
      <w:r>
        <w:rPr>
          <w:rFonts w:cs="Calibri"/>
          <w:lang w:val="es-CO"/>
        </w:rPr>
        <w:t xml:space="preserve">. Recuperado de </w:t>
      </w:r>
      <w:hyperlink w:tgtFrame="_blank" w:history="1" r:id="rId7">
        <w:r w:rsidR="00527B8C">
          <w:rPr>
            <w:rStyle w:val="Hipervnculo"/>
            <w:rFonts w:cs="Calibri"/>
            <w:lang w:val="es-CO"/>
          </w:rPr>
          <w:t>https://1library.co/article/materiales-construcci%C3%B3n-arrastre-fallas-transversales-basamento.7qvox1gy</w:t>
        </w:r>
      </w:hyperlink>
    </w:p>
  </w:footnote>
  <w:footnote w:id="5">
    <w:p w:rsidR="00527B8C" w:rsidRDefault="00212A57" w14:paraId="04858450" w14:textId="77777777">
      <w:pPr>
        <w:pStyle w:val="Textonotapie"/>
        <w:ind w:left="252" w:hanging="252" w:hangingChars="126"/>
        <w:rPr>
          <w:rFonts w:cs="Calibri"/>
        </w:rPr>
      </w:pPr>
      <w:r>
        <w:rPr>
          <w:rStyle w:val="Refdenotaalpie"/>
          <w:rFonts w:cs="Calibri"/>
        </w:rPr>
        <w:footnoteRef/>
      </w:r>
      <w:r>
        <w:rPr>
          <w:rFonts w:cs="Calibri"/>
          <w:lang w:val="en-US"/>
        </w:rPr>
        <w:t xml:space="preserve"> Galvis, J., Huguett, A., &amp; Ruge, P. (Bogotá 1979). </w:t>
      </w:r>
      <w:r>
        <w:rPr>
          <w:rFonts w:cs="Calibri"/>
          <w:i/>
          <w:iCs/>
        </w:rPr>
        <w:t>Geología de la Amazonia colombiana</w:t>
      </w:r>
      <w:r>
        <w:rPr>
          <w:rFonts w:cs="Calibri"/>
        </w:rPr>
        <w:t xml:space="preserve"> (Informe No. 1792). Ministerio de Minas y Energía – Instituto Nacional de Investigaciones Geológico-Mineras.</w:t>
      </w:r>
    </w:p>
  </w:footnote>
  <w:footnote w:id="6">
    <w:p w:rsidR="00527B8C" w:rsidRDefault="00212A57" w14:paraId="11319E3F" w14:textId="77777777">
      <w:pPr>
        <w:pStyle w:val="Textonotapie"/>
        <w:ind w:left="252" w:hanging="252" w:hangingChars="126"/>
        <w:jc w:val="both"/>
        <w:rPr>
          <w:rFonts w:cs="Calibri"/>
          <w:lang w:val="es-CO"/>
        </w:rPr>
      </w:pPr>
      <w:r>
        <w:rPr>
          <w:rStyle w:val="Refdenotaalpie"/>
          <w:rFonts w:cs="Calibri"/>
        </w:rPr>
        <w:footnoteRef/>
      </w:r>
      <w:r>
        <w:rPr>
          <w:rFonts w:cs="Calibri"/>
          <w:lang w:val="es-CO"/>
        </w:rPr>
        <w:t xml:space="preserve">  Agencia Nacional de Minería (ANM). (2021). </w:t>
      </w:r>
      <w:r>
        <w:rPr>
          <w:rFonts w:cs="Calibri"/>
          <w:i/>
          <w:iCs/>
          <w:lang w:val="es-CO"/>
        </w:rPr>
        <w:t>Guía de Buenas Prácticas para Materiales de Arrastre</w:t>
      </w:r>
      <w:r>
        <w:rPr>
          <w:rFonts w:cs="Calibri"/>
          <w:lang w:val="es-CO"/>
        </w:rPr>
        <w:t xml:space="preserve">. Recuperado de </w:t>
      </w:r>
      <w:hyperlink w:tgtFrame="_blank" w:history="1" r:id="rId8">
        <w:r w:rsidR="00527B8C">
          <w:rPr>
            <w:rStyle w:val="Hipervnculo"/>
            <w:rFonts w:cs="Calibri"/>
            <w:lang w:val="es-CO"/>
          </w:rPr>
          <w:t>https://www.anm.gov.co/sites/default/files/DocumentosAnm/guia-materiales-de-arrastre.pdf</w:t>
        </w:r>
      </w:hyperlink>
    </w:p>
    <w:p w:rsidR="00527B8C" w:rsidRDefault="00212A57" w14:paraId="37909EAB" w14:textId="77777777">
      <w:pPr>
        <w:pStyle w:val="Textonotapie"/>
        <w:ind w:left="252" w:hanging="252" w:hangingChars="126"/>
        <w:jc w:val="both"/>
        <w:rPr>
          <w:rFonts w:cs="Calibri"/>
          <w:lang w:val="es-CO"/>
        </w:rPr>
      </w:pPr>
      <w:r>
        <w:rPr>
          <w:rFonts w:cs="Calibri"/>
          <w:lang w:val="es-CO"/>
        </w:rPr>
        <w:t xml:space="preserve">Estudio Ambiental. (2023). </w:t>
      </w:r>
      <w:r>
        <w:rPr>
          <w:rFonts w:cs="Calibri"/>
          <w:i/>
          <w:iCs/>
          <w:lang w:val="es-CO"/>
        </w:rPr>
        <w:t>Acerca de la Guía Buenas Prácticas Materiales de Arrastre</w:t>
      </w:r>
      <w:r>
        <w:rPr>
          <w:rFonts w:cs="Calibri"/>
          <w:lang w:val="es-CO"/>
        </w:rPr>
        <w:t xml:space="preserve">. Recuperado de </w:t>
      </w:r>
      <w:hyperlink w:tgtFrame="_blank" w:history="1" r:id="rId9">
        <w:r w:rsidR="00527B8C">
          <w:rPr>
            <w:rStyle w:val="Hipervnculo"/>
            <w:rFonts w:cs="Calibri"/>
            <w:lang w:val="es-CO"/>
          </w:rPr>
          <w:t>https://estudioiambiental.com/mineria/acerca-de-la-guia-buenas-practicas-materiales-de-arrastre/</w:t>
        </w:r>
      </w:hyperlink>
    </w:p>
    <w:p w:rsidR="00527B8C" w:rsidRDefault="00527B8C" w14:paraId="4223E069" w14:textId="77777777">
      <w:pPr>
        <w:pStyle w:val="Textonotapie"/>
        <w:ind w:left="252" w:hanging="252" w:hangingChars="126"/>
        <w:jc w:val="both"/>
        <w:rPr>
          <w:rFonts w:cs="Calibri"/>
          <w:lang w:val="es-CO"/>
        </w:rPr>
      </w:pPr>
    </w:p>
  </w:footnote>
  <w:footnote w:id="7">
    <w:p w:rsidR="00527B8C" w:rsidRDefault="00212A57" w14:paraId="7564F143" w14:textId="77777777">
      <w:pPr>
        <w:pStyle w:val="Textonotapie"/>
        <w:ind w:left="252" w:hanging="252" w:hangingChars="126"/>
        <w:jc w:val="both"/>
        <w:rPr>
          <w:rFonts w:cs="Calibri"/>
          <w:lang w:val="es-CO"/>
        </w:rPr>
      </w:pPr>
      <w:r>
        <w:rPr>
          <w:rStyle w:val="Refdenotaalpie"/>
          <w:rFonts w:cs="Calibri"/>
        </w:rPr>
        <w:footnoteRef/>
      </w:r>
      <w:r>
        <w:rPr>
          <w:rFonts w:cs="Calibri"/>
          <w:lang w:val="es-CO"/>
        </w:rPr>
        <w:t xml:space="preserve"> Leyes.co. (2001). </w:t>
      </w:r>
      <w:r>
        <w:rPr>
          <w:rFonts w:cs="Calibri"/>
          <w:i/>
          <w:iCs/>
          <w:lang w:val="es-CO"/>
        </w:rPr>
        <w:t>Código de Minas – Artículo 11</w:t>
      </w:r>
      <w:r>
        <w:rPr>
          <w:rFonts w:cs="Calibri"/>
          <w:lang w:val="es-CO"/>
        </w:rPr>
        <w:t xml:space="preserve">. Recuperado de </w:t>
      </w:r>
      <w:hyperlink w:tgtFrame="_blank" w:history="1" r:id="rId10">
        <w:r w:rsidR="00527B8C">
          <w:rPr>
            <w:rStyle w:val="Hipervnculo"/>
            <w:rFonts w:cs="Calibri"/>
            <w:lang w:val="es-CO"/>
          </w:rPr>
          <w:t>https://leyes.co/codigo_de_minas/11.htm</w:t>
        </w:r>
      </w:hyperlink>
    </w:p>
    <w:p w:rsidR="00527B8C" w:rsidRDefault="00212A57" w14:paraId="3C887E5E" w14:textId="77777777">
      <w:pPr>
        <w:pStyle w:val="Textonotapie"/>
        <w:ind w:left="252" w:hanging="252" w:hangingChars="126"/>
        <w:jc w:val="both"/>
        <w:rPr>
          <w:rFonts w:cs="Calibri"/>
          <w:lang w:val="es-CO"/>
        </w:rPr>
      </w:pPr>
      <w:r>
        <w:rPr>
          <w:rFonts w:cs="Calibri"/>
          <w:lang w:val="es-CO"/>
        </w:rPr>
        <w:t xml:space="preserve">Estudio Ambiental. (2023). </w:t>
      </w:r>
      <w:r>
        <w:rPr>
          <w:rFonts w:cs="Calibri"/>
          <w:i/>
          <w:iCs/>
          <w:lang w:val="es-CO"/>
        </w:rPr>
        <w:t>Acerca de la Guía Buenas Prácticas Materiales de Arrastre</w:t>
      </w:r>
      <w:r>
        <w:rPr>
          <w:rFonts w:cs="Calibri"/>
          <w:lang w:val="es-CO"/>
        </w:rPr>
        <w:t xml:space="preserve">. Recuperado de </w:t>
      </w:r>
      <w:hyperlink w:tgtFrame="_blank" w:history="1" r:id="rId11">
        <w:r w:rsidR="00527B8C">
          <w:rPr>
            <w:rStyle w:val="Hipervnculo"/>
            <w:rFonts w:cs="Calibri"/>
            <w:lang w:val="es-CO"/>
          </w:rPr>
          <w:t>https://estudioiambiental.com/mineria/acerca-de-la-guia-buenas-practicas-materiales-de-arrastre/</w:t>
        </w:r>
      </w:hyperlink>
    </w:p>
  </w:footnote>
  <w:footnote w:id="8">
    <w:p w:rsidR="00527B8C" w:rsidP="002352AE" w:rsidRDefault="00212A57" w14:paraId="5B64ACB2" w14:textId="77777777">
      <w:pPr>
        <w:pStyle w:val="Textonotapie"/>
        <w:ind w:left="252" w:hanging="252" w:hangingChars="126"/>
        <w:jc w:val="both"/>
        <w:rPr>
          <w:rFonts w:cs="Calibri"/>
          <w:lang w:val="es-CO"/>
        </w:rPr>
      </w:pPr>
      <w:r>
        <w:rPr>
          <w:rStyle w:val="Refdenotaalpie"/>
          <w:rFonts w:cs="Calibri"/>
        </w:rPr>
        <w:footnoteRef/>
      </w:r>
      <w:r>
        <w:rPr>
          <w:rFonts w:cs="Calibri"/>
          <w:lang w:val="es-CO"/>
        </w:rPr>
        <w:t xml:space="preserve"> Agencia Nacional de Minería (ANM). </w:t>
      </w:r>
      <w:r>
        <w:rPr>
          <w:rFonts w:cs="Calibri"/>
          <w:i/>
          <w:iCs/>
          <w:lang w:val="es-CO"/>
        </w:rPr>
        <w:t>Sistema Integral de Gestión Minera (SIGM)</w:t>
      </w:r>
      <w:r>
        <w:rPr>
          <w:rFonts w:cs="Calibri"/>
          <w:lang w:val="es-CO"/>
        </w:rPr>
        <w:t xml:space="preserve"> (s.f.). Recuperado de https://annamineria.anm.gov.co/sigm/index.html</w:t>
      </w:r>
    </w:p>
  </w:footnote>
  <w:footnote w:id="9">
    <w:p w:rsidR="00527B8C" w:rsidP="002352AE" w:rsidRDefault="00212A57" w14:paraId="40420C9E" w14:textId="77777777">
      <w:pPr>
        <w:pStyle w:val="Textonotapie"/>
        <w:ind w:left="252" w:hanging="252" w:hangingChars="126"/>
        <w:jc w:val="both"/>
        <w:rPr>
          <w:rFonts w:cs="Calibri"/>
        </w:rPr>
      </w:pPr>
      <w:r>
        <w:rPr>
          <w:rStyle w:val="Refdenotaalpie"/>
          <w:rFonts w:cs="Calibri"/>
        </w:rPr>
        <w:footnoteRef/>
      </w:r>
      <w:r>
        <w:rPr>
          <w:rFonts w:cs="Calibri"/>
        </w:rPr>
        <w:t xml:space="preserve"> </w:t>
      </w:r>
      <w:r>
        <w:rPr>
          <w:rFonts w:eastAsia="Segoe UI" w:cs="Calibri"/>
        </w:rPr>
        <w:t xml:space="preserve">Instituto Amazónico de Investigaciones Científicas SINCHI. (2019). </w:t>
      </w:r>
      <w:r>
        <w:rPr>
          <w:rFonts w:eastAsia="Segoe UI" w:cs="Calibri"/>
          <w:i/>
          <w:iCs/>
        </w:rPr>
        <w:t>Minería: Impactos sociales en la Amazonia</w:t>
      </w:r>
      <w:r>
        <w:rPr>
          <w:rFonts w:eastAsia="Segoe UI" w:cs="Calibri"/>
        </w:rPr>
        <w:t xml:space="preserve">. Recuperado de </w:t>
      </w:r>
      <w:hyperlink r:id="rId12">
        <w:r w:rsidR="00527B8C">
          <w:rPr>
            <w:rStyle w:val="Hipervnculo"/>
            <w:rFonts w:eastAsia="Segoe UI" w:cs="Calibri"/>
          </w:rPr>
          <w:t>https://sinchi.org.co/index.php/mineria-impactos-sociales-en-la-amazonia</w:t>
        </w:r>
      </w:hyperlink>
    </w:p>
    <w:p w:rsidR="00527B8C" w:rsidRDefault="00527B8C" w14:paraId="40EAEF14" w14:textId="77777777">
      <w:pPr>
        <w:pStyle w:val="Textonotapie"/>
        <w:ind w:left="252" w:hanging="252" w:hangingChars="126"/>
        <w:rPr>
          <w:rFonts w:cs="Calibri"/>
        </w:rPr>
      </w:pPr>
    </w:p>
  </w:footnote>
  <w:footnote w:id="10">
    <w:p w:rsidR="00527B8C" w:rsidP="002352AE" w:rsidRDefault="00212A57" w14:paraId="0FE29867" w14:textId="77777777">
      <w:pPr>
        <w:pStyle w:val="Textonotapie"/>
        <w:ind w:left="252" w:hanging="252" w:hangingChars="126"/>
        <w:jc w:val="both"/>
        <w:rPr>
          <w:rFonts w:cs="Calibri"/>
        </w:rPr>
      </w:pPr>
      <w:r>
        <w:rPr>
          <w:rStyle w:val="Refdenotaalpie"/>
          <w:rFonts w:cs="Calibri"/>
        </w:rPr>
        <w:footnoteRef/>
      </w:r>
      <w:r>
        <w:rPr>
          <w:rFonts w:cs="Calibri"/>
        </w:rPr>
        <w:t xml:space="preserve"> Los estándares hidrosedimentológicos son criterios técnicos que se utilizan para evaluar y regular la interacción entre el flujo de agua (hidrodinámica) y el transporte de sedimentos (arena, grava, limo) en ríos, quebradas y otros sistemas acuáticos. Se aplican para garantizar que las actividades humanas —como la extracción de materiales de arrastre— no alteren de manera crítica la estabilidad del cauce ni la funcionalidad ecológica del sistema fluvial.</w:t>
      </w:r>
    </w:p>
  </w:footnote>
  <w:footnote w:id="11">
    <w:p w:rsidR="00527B8C" w:rsidP="002352AE" w:rsidRDefault="00212A57" w14:paraId="02FD5B7F" w14:textId="77777777">
      <w:pPr>
        <w:pStyle w:val="Textonotapie"/>
        <w:ind w:left="252" w:hanging="252" w:hangingChars="126"/>
        <w:jc w:val="both"/>
        <w:rPr>
          <w:rFonts w:cs="Calibri"/>
        </w:rPr>
      </w:pPr>
      <w:r>
        <w:rPr>
          <w:rStyle w:val="Refdenotaalpie"/>
          <w:rFonts w:cs="Calibri"/>
        </w:rPr>
        <w:footnoteRef/>
      </w:r>
      <w:r>
        <w:rPr>
          <w:rFonts w:cs="Calibri"/>
        </w:rPr>
        <w:t xml:space="preserve"> </w:t>
      </w:r>
      <w:r>
        <w:rPr>
          <w:rFonts w:eastAsia="Segoe UI" w:cs="Calibri"/>
        </w:rPr>
        <w:t>La migración de barras de arena es un fenómeno natural en ríos y sistemas fluviales donde las barras (acumulaciones de sedimentos como arena y grava) se desplazan a lo largo del cauce debido a la acción del flujo de agua y la dinámica hidráulica.</w:t>
      </w:r>
    </w:p>
  </w:footnote>
  <w:footnote w:id="12">
    <w:p w:rsidR="00527B8C" w:rsidRDefault="00212A57" w14:paraId="4CABD3D4" w14:textId="77777777">
      <w:pPr>
        <w:pStyle w:val="Textonotapie"/>
        <w:spacing w:line="300" w:lineRule="auto"/>
        <w:ind w:left="252" w:hanging="252" w:hangingChars="126"/>
        <w:jc w:val="both"/>
        <w:rPr>
          <w:rFonts w:cs="Calibri"/>
        </w:rPr>
      </w:pPr>
      <w:r>
        <w:rPr>
          <w:rStyle w:val="Refdenotaalpie"/>
          <w:rFonts w:cs="Calibri"/>
        </w:rPr>
        <w:footnoteRef/>
      </w:r>
      <w:r>
        <w:rPr>
          <w:rFonts w:cs="Calibri"/>
        </w:rPr>
        <w:t xml:space="preserve"> </w:t>
      </w:r>
      <w:r>
        <w:rPr>
          <w:rFonts w:eastAsia="Segoe UI" w:cs="Calibri"/>
        </w:rPr>
        <w:t>Los contratos de guardería ambiental son mecanismos mediante los cuales se vincula a comunidades locales, organizaciones sociales o actores territoriales para realizar actividades de vigilancia, monitoreo y protección de ecosistemas en áreas estratégicas, generalmente bajo un esquema contractual con entidades públicas o privadas.</w:t>
      </w:r>
    </w:p>
  </w:footnote>
  <w:footnote w:id="13">
    <w:p w:rsidR="00527B8C" w:rsidRDefault="00212A57" w14:paraId="76EA4ACD" w14:textId="77777777">
      <w:pPr>
        <w:pStyle w:val="Textonotapie"/>
        <w:ind w:left="252" w:hanging="252" w:hangingChars="126"/>
        <w:rPr>
          <w:rFonts w:cs="Calibri"/>
          <w:lang w:val="es-CO"/>
        </w:rPr>
      </w:pPr>
      <w:r>
        <w:rPr>
          <w:rStyle w:val="Refdenotaalpie"/>
          <w:rFonts w:cs="Calibri"/>
        </w:rPr>
        <w:footnoteRef/>
      </w:r>
      <w:r>
        <w:rPr>
          <w:rFonts w:cs="Calibri"/>
          <w:lang w:val="es-CO"/>
        </w:rPr>
        <w:t xml:space="preserve"> Autoridad Nacional de Licencias Ambientales (ANLA). (2023). </w:t>
      </w:r>
      <w:r>
        <w:rPr>
          <w:rFonts w:cs="Calibri"/>
          <w:i/>
          <w:iCs/>
          <w:lang w:val="es-CO"/>
        </w:rPr>
        <w:t>Proyecto Río Saldaña – Explotación y producción de materiales de arrastre</w:t>
      </w:r>
      <w:r>
        <w:rPr>
          <w:rFonts w:cs="Calibri"/>
          <w:lang w:val="es-CO"/>
        </w:rPr>
        <w:t xml:space="preserve">. Recuperado de </w:t>
      </w:r>
      <w:hyperlink w:tgtFrame="_blank" w:history="1" r:id="rId13">
        <w:r w:rsidR="00527B8C">
          <w:rPr>
            <w:rStyle w:val="Hipervnculo"/>
            <w:rFonts w:cs="Calibri"/>
            <w:lang w:val="es-CO"/>
          </w:rPr>
          <w:t>https://www.anla.gov.co/proyectos-de-interes-en-evaluacion/pie-explotacion-y-produccion-materiales-arrastre-rio-saldana</w:t>
        </w:r>
      </w:hyperlink>
    </w:p>
  </w:footnote>
  <w:footnote w:id="14">
    <w:p w:rsidR="00527B8C" w:rsidP="002352AE" w:rsidRDefault="00212A57" w14:paraId="154482B3" w14:textId="77777777">
      <w:pPr>
        <w:pStyle w:val="Textonotapie"/>
        <w:ind w:left="252" w:hanging="252" w:hangingChars="126"/>
        <w:jc w:val="both"/>
        <w:rPr>
          <w:rFonts w:cs="Calibri"/>
          <w:lang w:val="es-CO"/>
        </w:rPr>
      </w:pPr>
      <w:r>
        <w:rPr>
          <w:rStyle w:val="Refdenotaalpie"/>
          <w:rFonts w:cs="Calibri"/>
        </w:rPr>
        <w:footnoteRef/>
      </w:r>
      <w:r>
        <w:rPr>
          <w:rFonts w:cs="Calibri"/>
          <w:lang w:val="es-CO"/>
        </w:rPr>
        <w:t xml:space="preserve"> Universidad Nacional de Colombia (UNAL). (2021). </w:t>
      </w:r>
      <w:r>
        <w:rPr>
          <w:rFonts w:cs="Calibri"/>
          <w:i/>
          <w:iCs/>
          <w:lang w:val="es-CO"/>
        </w:rPr>
        <w:t>Exploración semidetallada de material de arrastre en cuenca del río La Vieja</w:t>
      </w:r>
      <w:r>
        <w:rPr>
          <w:rFonts w:cs="Calibri"/>
          <w:lang w:val="es-CO"/>
        </w:rPr>
        <w:t xml:space="preserve">. Recuperado de </w:t>
      </w:r>
      <w:hyperlink w:tgtFrame="_blank" w:history="1" r:id="rId14">
        <w:r w:rsidR="00527B8C">
          <w:rPr>
            <w:rStyle w:val="Hipervnculo"/>
            <w:rFonts w:cs="Calibri"/>
            <w:lang w:val="es-CO"/>
          </w:rPr>
          <w:t>https://repositorio.unal.edu.co/bitstreams/1c861444-2ef2-4763-9497-5d47dc1719b4/download</w:t>
        </w:r>
      </w:hyperlink>
    </w:p>
  </w:footnote>
  <w:footnote w:id="15">
    <w:p w:rsidR="00527B8C" w:rsidP="002352AE" w:rsidRDefault="00212A57" w14:paraId="0056D9FC" w14:textId="77777777">
      <w:pPr>
        <w:pStyle w:val="Textonotapie"/>
        <w:ind w:left="252" w:hanging="252" w:hangingChars="126"/>
        <w:jc w:val="both"/>
        <w:rPr>
          <w:rFonts w:cs="Calibri"/>
          <w:lang w:val="es-CO"/>
        </w:rPr>
      </w:pPr>
      <w:r>
        <w:rPr>
          <w:rStyle w:val="Refdenotaalpie"/>
          <w:rFonts w:cs="Calibri"/>
        </w:rPr>
        <w:footnoteRef/>
      </w:r>
      <w:r>
        <w:rPr>
          <w:rFonts w:cs="Calibri"/>
          <w:lang w:val="es-CO"/>
        </w:rPr>
        <w:t xml:space="preserve">Universidad de Nariño (UDENAR). (2022). </w:t>
      </w:r>
      <w:r>
        <w:rPr>
          <w:rFonts w:cs="Calibri"/>
          <w:i/>
          <w:iCs/>
          <w:lang w:val="es-CO"/>
        </w:rPr>
        <w:t>Estudio sobre explotación de materiales de arrastre en Tumaco</w:t>
      </w:r>
      <w:r>
        <w:rPr>
          <w:rFonts w:cs="Calibri"/>
          <w:lang w:val="es-CO"/>
        </w:rPr>
        <w:t xml:space="preserve">. Recuperado de </w:t>
      </w:r>
      <w:hyperlink w:tgtFrame="_blank" w:history="1" r:id="rId15">
        <w:r w:rsidR="00527B8C">
          <w:rPr>
            <w:rStyle w:val="Hipervnculo"/>
            <w:rFonts w:cs="Calibri"/>
            <w:lang w:val="es-CO"/>
          </w:rPr>
          <w:t>https://sired.udenar.edu.co/14727/1/60432.pdf</w:t>
        </w:r>
      </w:hyperlink>
    </w:p>
  </w:footnote>
  <w:footnote w:id="16">
    <w:p w:rsidR="00527B8C" w:rsidP="002352AE" w:rsidRDefault="00212A57" w14:paraId="1EF53A91" w14:textId="77777777">
      <w:pPr>
        <w:pStyle w:val="Textonotapie"/>
        <w:ind w:left="252" w:hanging="252" w:hangingChars="126"/>
        <w:jc w:val="both"/>
        <w:rPr>
          <w:rFonts w:cs="Calibri"/>
          <w:lang w:val="es-CO"/>
        </w:rPr>
      </w:pPr>
      <w:r>
        <w:rPr>
          <w:rStyle w:val="Refdenotaalpie"/>
          <w:rFonts w:cs="Calibri"/>
        </w:rPr>
        <w:footnoteRef/>
      </w:r>
      <w:r>
        <w:rPr>
          <w:rFonts w:cs="Calibri"/>
          <w:lang w:val="es-CO"/>
        </w:rPr>
        <w:t xml:space="preserve"> Universidad Popular del Cesar (UNICESAR). (2021). </w:t>
      </w:r>
      <w:r>
        <w:rPr>
          <w:rFonts w:cs="Calibri"/>
          <w:i/>
          <w:iCs/>
          <w:lang w:val="es-CO"/>
        </w:rPr>
        <w:t>Plan de manejo ambiental para explotación de materiales de arrastre en el río Cesar</w:t>
      </w:r>
      <w:r>
        <w:rPr>
          <w:rFonts w:cs="Calibri"/>
          <w:lang w:val="es-CO"/>
        </w:rPr>
        <w:t>. Recuperado de http://repositorio.unicesar.edu.co/bitstreams/d4bec40b-2a76-47b2-a194-f0c9ab5c8bef/download</w:t>
      </w:r>
    </w:p>
  </w:footnote>
  <w:footnote w:id="17">
    <w:p w:rsidR="00527B8C" w:rsidP="002352AE" w:rsidRDefault="00212A57" w14:paraId="40D491FC" w14:textId="77777777">
      <w:pPr>
        <w:pStyle w:val="Textonotapie"/>
        <w:ind w:left="252" w:hanging="252" w:hangingChars="126"/>
        <w:jc w:val="both"/>
        <w:rPr>
          <w:rFonts w:cs="Calibri"/>
          <w:lang w:val="es-CO"/>
        </w:rPr>
      </w:pPr>
      <w:r>
        <w:rPr>
          <w:rStyle w:val="Refdenotaalpie"/>
          <w:rFonts w:cs="Calibri"/>
        </w:rPr>
        <w:footnoteRef/>
      </w:r>
      <w:r>
        <w:rPr>
          <w:rFonts w:cs="Calibri"/>
          <w:lang w:val="es-CO"/>
        </w:rPr>
        <w:t xml:space="preserve"> Instituto Amazónico de Investigaciones Científicas (SINCHI). (2024). </w:t>
      </w:r>
      <w:r>
        <w:rPr>
          <w:rFonts w:cs="Calibri"/>
          <w:i/>
          <w:iCs/>
          <w:lang w:val="es-CO"/>
        </w:rPr>
        <w:t>Conflictos mineros en el Alto Putumayo</w:t>
      </w:r>
      <w:r>
        <w:rPr>
          <w:rFonts w:cs="Calibri"/>
          <w:lang w:val="es-CO"/>
        </w:rPr>
        <w:t xml:space="preserve">. Recuperado de </w:t>
      </w:r>
      <w:hyperlink w:tgtFrame="_blank" w:history="1" r:id="rId16">
        <w:r w:rsidR="00527B8C">
          <w:rPr>
            <w:rStyle w:val="Hipervnculo"/>
            <w:rFonts w:cs="Calibri"/>
            <w:lang w:val="es-CO"/>
          </w:rPr>
          <w:t>https://siatac.co/Documentos/Atlas/conflictos/SINCHI029_V1_2024.pdf</w:t>
        </w:r>
      </w:hyperlink>
    </w:p>
    <w:p w:rsidR="00527B8C" w:rsidP="002352AE" w:rsidRDefault="00212A57" w14:paraId="35F15973" w14:textId="77777777">
      <w:pPr>
        <w:pStyle w:val="Textonotapie"/>
        <w:ind w:left="252" w:hanging="252" w:hangingChars="126"/>
        <w:jc w:val="both"/>
        <w:rPr>
          <w:rFonts w:cs="Calibri"/>
          <w:lang w:val="es-CO"/>
        </w:rPr>
      </w:pPr>
      <w:r>
        <w:rPr>
          <w:rFonts w:cs="Calibri"/>
          <w:lang w:val="es-CO"/>
        </w:rPr>
        <w:t xml:space="preserve">Observatorio Amazónico de Desarrollo (OAD-CEALDES). (2023). </w:t>
      </w:r>
      <w:r>
        <w:rPr>
          <w:rFonts w:cs="Calibri"/>
          <w:i/>
          <w:iCs/>
          <w:lang w:val="es-CO"/>
        </w:rPr>
        <w:t>Informe sobre minería y gobernanza en la Amazonía</w:t>
      </w:r>
      <w:r>
        <w:rPr>
          <w:rFonts w:cs="Calibri"/>
          <w:lang w:val="es-CO"/>
        </w:rPr>
        <w:t>. Recuperado de https://oad-cealdes.org</w:t>
      </w:r>
    </w:p>
  </w:footnote>
  <w:footnote w:id="18">
    <w:p w:rsidR="00527B8C" w:rsidP="002352AE" w:rsidRDefault="00212A57" w14:paraId="07014FA5" w14:textId="77777777">
      <w:pPr>
        <w:pStyle w:val="Textonotapie"/>
        <w:ind w:left="252" w:hanging="252" w:hangingChars="126"/>
        <w:jc w:val="both"/>
        <w:rPr>
          <w:rFonts w:cs="Calibri"/>
          <w:lang w:val="es-CO"/>
        </w:rPr>
      </w:pPr>
      <w:r>
        <w:rPr>
          <w:rStyle w:val="Refdenotaalpie"/>
          <w:rFonts w:cs="Calibri"/>
        </w:rPr>
        <w:footnoteRef/>
      </w:r>
      <w:r>
        <w:rPr>
          <w:rFonts w:cs="Calibri"/>
          <w:lang w:val="es-CO"/>
        </w:rPr>
        <w:t xml:space="preserve"> Autoridad Nacional de Licencias Ambientales (ANLA). (2023). </w:t>
      </w:r>
      <w:r>
        <w:rPr>
          <w:rFonts w:cs="Calibri"/>
          <w:i/>
          <w:iCs/>
          <w:lang w:val="es-CO"/>
        </w:rPr>
        <w:t>Proyecto Río Saldaña – Explotación y producción de materiales de arrastre</w:t>
      </w:r>
      <w:r>
        <w:rPr>
          <w:rFonts w:cs="Calibri"/>
          <w:lang w:val="es-CO"/>
        </w:rPr>
        <w:t xml:space="preserve">. Recuperado de </w:t>
      </w:r>
      <w:hyperlink w:tgtFrame="_blank" w:history="1" r:id="rId17">
        <w:r w:rsidR="00527B8C">
          <w:rPr>
            <w:rStyle w:val="Hipervnculo"/>
            <w:rFonts w:cs="Calibri"/>
            <w:lang w:val="es-CO"/>
          </w:rPr>
          <w:t>https://www.anla.gov.co/proyectos-de-interes-en-evaluacion/pie-explotacion-y-produccion-materiales-arrastre-rio-saldana</w:t>
        </w:r>
      </w:hyperlink>
    </w:p>
  </w:footnote>
  <w:footnote w:id="19">
    <w:p w:rsidR="00DD5AA1" w:rsidP="002352AE" w:rsidRDefault="00212A57" w14:paraId="4568E781" w14:textId="77777777">
      <w:pPr>
        <w:pStyle w:val="Textonotapie"/>
        <w:ind w:left="252" w:hanging="252" w:hangingChars="126"/>
        <w:jc w:val="both"/>
        <w:rPr>
          <w:rFonts w:cs="Calibri"/>
          <w:lang w:val="es-CO"/>
        </w:rPr>
      </w:pPr>
      <w:r>
        <w:rPr>
          <w:rStyle w:val="Refdenotaalpie"/>
          <w:rFonts w:cs="Calibri"/>
        </w:rPr>
        <w:footnoteRef/>
      </w:r>
      <w:r>
        <w:rPr>
          <w:rFonts w:cs="Calibri"/>
          <w:lang w:val="en-US"/>
        </w:rPr>
        <w:t xml:space="preserve"> Quecán Herrera, J. S. (2024). </w:t>
      </w:r>
      <w:r>
        <w:rPr>
          <w:rFonts w:cs="Calibri"/>
          <w:i/>
          <w:iCs/>
          <w:lang w:val="en-US"/>
        </w:rPr>
        <w:t>Performance and energy efficiency in electric vehicles using an induction motor through Active Disturbance Rejection and Optimal Control strategies</w:t>
      </w:r>
      <w:r>
        <w:rPr>
          <w:rFonts w:cs="Calibri"/>
          <w:lang w:val="en-US"/>
        </w:rPr>
        <w:t xml:space="preserve"> [Tesis de maestría, Universidad Nacional de Colombia]. </w:t>
      </w:r>
      <w:r>
        <w:rPr>
          <w:rFonts w:cs="Calibri"/>
          <w:lang w:val="es-CO"/>
        </w:rPr>
        <w:t>Repositorio Institucional UNAL</w:t>
      </w:r>
    </w:p>
    <w:p w:rsidR="00527B8C" w:rsidP="00DD5AA1" w:rsidRDefault="00DD5AA1" w14:paraId="58592FA0" w14:textId="64861D12">
      <w:pPr>
        <w:pStyle w:val="Textonotapie"/>
        <w:ind w:left="252"/>
        <w:jc w:val="both"/>
        <w:rPr>
          <w:rFonts w:cs="Calibri"/>
          <w:lang w:val="es-CO"/>
        </w:rPr>
      </w:pPr>
      <w:r>
        <w:rPr>
          <w:rFonts w:cs="Calibri"/>
          <w:lang w:val="es-CO"/>
        </w:rPr>
        <w:t xml:space="preserve"> </w:t>
      </w:r>
      <w:hyperlink w:history="1" r:id="rId18">
        <w:r w:rsidRPr="006C6571" w:rsidR="002352AE">
          <w:rPr>
            <w:rStyle w:val="Hipervnculo"/>
            <w:rFonts w:cs="Calibri"/>
            <w:lang w:val="es-CO"/>
          </w:rPr>
          <w:t>https://bffrepositorio.unal.edu.co/server/api/core/bitstreams/1c861444-2ef2-4763-9497-5d47dc1719b4/content</w:t>
        </w:r>
      </w:hyperlink>
    </w:p>
  </w:footnote>
  <w:footnote w:id="20">
    <w:p w:rsidR="00527B8C" w:rsidRDefault="00212A57" w14:paraId="7085004A" w14:textId="77777777">
      <w:pPr>
        <w:pStyle w:val="Textonotapie"/>
        <w:ind w:left="252" w:hanging="252" w:hangingChars="126"/>
        <w:rPr>
          <w:rFonts w:cs="Calibri"/>
          <w:lang w:val="es-CO"/>
        </w:rPr>
      </w:pPr>
      <w:r>
        <w:rPr>
          <w:rStyle w:val="Refdenotaalpie"/>
          <w:rFonts w:cs="Calibri"/>
        </w:rPr>
        <w:footnoteRef/>
      </w:r>
      <w:r>
        <w:rPr>
          <w:rFonts w:cs="Calibri"/>
          <w:lang w:val="es-CO"/>
        </w:rPr>
        <w:t xml:space="preserve"> Corporación Autónoma Regional del Tolima – CORTOLIMA. (s.f.). </w:t>
      </w:r>
      <w:r>
        <w:rPr>
          <w:rFonts w:cs="Calibri"/>
          <w:i/>
          <w:iCs/>
          <w:lang w:val="es-CO"/>
        </w:rPr>
        <w:t>Ajuste parcial al plan de ordenación y manejo de la subzona hidrográfica del río Coello: Análisis de la información inicial del POMCA</w:t>
      </w:r>
      <w:r>
        <w:rPr>
          <w:rFonts w:cs="Calibri"/>
          <w:lang w:val="es-CO"/>
        </w:rPr>
        <w:t xml:space="preserve">. Recuperado de </w:t>
      </w:r>
      <w:hyperlink w:history="1" r:id="rId19">
        <w:r w:rsidR="00527B8C">
          <w:rPr>
            <w:rStyle w:val="Hipervnculo"/>
            <w:rFonts w:cs="Calibri"/>
            <w:lang w:val="es-CO"/>
          </w:rPr>
          <w:t>https://cortolima.gov.co/images/POMCA/Rio_Coello/1fase/RECOPILACION_Y_ANALISIS_DE_LA_INFORMACION.pdf</w:t>
        </w:r>
      </w:hyperlink>
    </w:p>
  </w:footnote>
  <w:footnote w:id="21">
    <w:p w:rsidR="002352AE" w:rsidRDefault="00212A57" w14:paraId="4BF3A4CB" w14:textId="77777777">
      <w:pPr>
        <w:pStyle w:val="Textonotapie"/>
        <w:ind w:left="252" w:hanging="252" w:hangingChars="126"/>
        <w:jc w:val="both"/>
        <w:rPr>
          <w:rFonts w:cs="Calibri"/>
          <w:lang w:val="es-CO"/>
        </w:rPr>
      </w:pPr>
      <w:r>
        <w:rPr>
          <w:rStyle w:val="Refdenotaalpie"/>
          <w:rFonts w:cs="Calibri"/>
        </w:rPr>
        <w:footnoteRef/>
      </w:r>
      <w:r>
        <w:rPr>
          <w:rFonts w:cs="Calibri"/>
          <w:lang w:val="es-CO"/>
        </w:rPr>
        <w:t xml:space="preserve"> Agencia Nacional de Minería. (2018, julio 9). </w:t>
      </w:r>
      <w:r>
        <w:rPr>
          <w:rFonts w:cs="Calibri"/>
          <w:i/>
          <w:iCs/>
          <w:lang w:val="es-CO"/>
        </w:rPr>
        <w:t>Procedimiento para la disposición final y eliminación de documentos</w:t>
      </w:r>
      <w:r>
        <w:rPr>
          <w:rFonts w:cs="Calibri"/>
          <w:lang w:val="es-CO"/>
        </w:rPr>
        <w:t>. Recuperado de</w:t>
      </w:r>
    </w:p>
    <w:p w:rsidR="00527B8C" w:rsidP="002352AE" w:rsidRDefault="00527B8C" w14:paraId="3968F7B1" w14:textId="5D05DC82">
      <w:pPr>
        <w:pStyle w:val="Textonotapie"/>
        <w:ind w:left="252"/>
        <w:jc w:val="both"/>
        <w:rPr>
          <w:rFonts w:cs="Calibri"/>
          <w:lang w:val="es-CO"/>
        </w:rPr>
      </w:pPr>
      <w:hyperlink w:history="1" r:id="rId20">
        <w:r>
          <w:rPr>
            <w:rStyle w:val="Hipervnculo"/>
            <w:rFonts w:cs="Calibri"/>
            <w:lang w:val="es-CO"/>
          </w:rPr>
          <w:t>https://www.anm.gov.co/sites/default/files/DocumentosAnm/procedimiento_eliminacion_de_documentos_final_09072018_0.pdf</w:t>
        </w:r>
      </w:hyperlink>
    </w:p>
  </w:footnote>
  <w:footnote w:id="22">
    <w:p w:rsidR="002352AE" w:rsidRDefault="00212A57" w14:paraId="42B44362" w14:textId="77777777">
      <w:pPr>
        <w:pStyle w:val="Textonotapie"/>
        <w:ind w:left="252" w:hanging="252" w:hangingChars="126"/>
        <w:jc w:val="both"/>
        <w:rPr>
          <w:rFonts w:cs="Calibri"/>
        </w:rPr>
      </w:pPr>
      <w:r>
        <w:rPr>
          <w:rStyle w:val="Refdenotaalpie"/>
          <w:rFonts w:cs="Calibri"/>
        </w:rPr>
        <w:footnoteRef/>
      </w:r>
      <w:r>
        <w:rPr>
          <w:rFonts w:cs="Calibri"/>
        </w:rPr>
        <w:t xml:space="preserve"> Agencia Nacional de Minería. 2021. Guía de Buenas Prácticas para la Exploración y Estimación de Recursos y Reservas de Materiales de Arrastre. Bogotá.  En: </w:t>
      </w:r>
    </w:p>
    <w:p w:rsidR="00527B8C" w:rsidP="002352AE" w:rsidRDefault="00212A57" w14:paraId="0AF30EDB" w14:textId="44E93C1F">
      <w:pPr>
        <w:pStyle w:val="Textonotapie"/>
        <w:ind w:left="252"/>
        <w:jc w:val="both"/>
        <w:rPr>
          <w:rFonts w:cs="Calibri"/>
        </w:rPr>
      </w:pPr>
      <w:r>
        <w:rPr>
          <w:rFonts w:cs="Calibri"/>
        </w:rPr>
        <w:t>https://www.anm.gov.co/sites/default/files/DocumentosAnm/guia-materiales-de-arrastre.pdf?utm_source=chatgpt.com</w:t>
      </w:r>
    </w:p>
  </w:footnote>
  <w:footnote w:id="23">
    <w:p w:rsidR="00527B8C" w:rsidRDefault="00212A57" w14:paraId="298D9AF6" w14:textId="77777777">
      <w:pPr>
        <w:pStyle w:val="Textonotapie"/>
        <w:ind w:left="252" w:hanging="252" w:hangingChars="126"/>
        <w:jc w:val="both"/>
        <w:rPr>
          <w:rFonts w:cs="Calibri"/>
          <w:lang w:val="es-CO"/>
        </w:rPr>
      </w:pPr>
      <w:r>
        <w:rPr>
          <w:rStyle w:val="Refdenotaalpie"/>
          <w:rFonts w:cs="Calibri"/>
        </w:rPr>
        <w:footnoteRef/>
      </w:r>
      <w:r>
        <w:rPr>
          <w:rFonts w:cs="Calibri"/>
          <w:lang w:val="es-CO"/>
        </w:rPr>
        <w:t xml:space="preserve"> Fundación para la Conservación y el Desarrollo Sostenible (FCDS). </w:t>
      </w:r>
      <w:r>
        <w:rPr>
          <w:rFonts w:cs="Calibri"/>
          <w:i/>
          <w:iCs/>
          <w:lang w:val="es-CO"/>
        </w:rPr>
        <w:t>Observatorio Amazónico</w:t>
      </w:r>
      <w:r>
        <w:rPr>
          <w:rFonts w:cs="Calibri"/>
          <w:lang w:val="es-CO"/>
        </w:rPr>
        <w:t xml:space="preserve"> (s.f.). Recuperado de https://observatorioamazonia.fcds.org.co/</w:t>
      </w:r>
    </w:p>
  </w:footnote>
  <w:footnote w:id="24">
    <w:p w:rsidR="002352AE" w:rsidRDefault="00212A57" w14:paraId="7CE71B8C" w14:textId="77777777">
      <w:pPr>
        <w:pStyle w:val="Textonotapie"/>
        <w:ind w:left="252" w:hanging="252" w:hangingChars="126"/>
        <w:jc w:val="both"/>
        <w:rPr>
          <w:rFonts w:cs="Calibri"/>
          <w:lang w:val="es-CO"/>
        </w:rPr>
      </w:pPr>
      <w:r>
        <w:rPr>
          <w:rStyle w:val="Refdenotaalpie"/>
          <w:rFonts w:cs="Calibri"/>
        </w:rPr>
        <w:footnoteRef/>
      </w:r>
      <w:r>
        <w:rPr>
          <w:rFonts w:cs="Calibri"/>
          <w:lang w:val="es-CO"/>
        </w:rPr>
        <w:t xml:space="preserve"> RAISG. </w:t>
      </w:r>
      <w:r>
        <w:rPr>
          <w:rFonts w:cs="Calibri"/>
          <w:i/>
          <w:iCs/>
          <w:lang w:val="es-CO"/>
        </w:rPr>
        <w:t>Actividades extractivas: Minería</w:t>
      </w:r>
      <w:r>
        <w:rPr>
          <w:rFonts w:cs="Calibri"/>
          <w:lang w:val="es-CO"/>
        </w:rPr>
        <w:t xml:space="preserve"> (2020). Recuperado de </w:t>
      </w:r>
    </w:p>
    <w:p w:rsidR="00527B8C" w:rsidRDefault="00212A57" w14:paraId="387E9A12" w14:textId="1889E371">
      <w:pPr>
        <w:pStyle w:val="Textonotapie"/>
        <w:ind w:left="252" w:hanging="252" w:hangingChars="126"/>
        <w:jc w:val="both"/>
        <w:rPr>
          <w:rFonts w:cs="Calibri"/>
          <w:lang w:val="es-CO"/>
        </w:rPr>
      </w:pPr>
      <w:r>
        <w:rPr>
          <w:rFonts w:cs="Calibri"/>
          <w:lang w:val="es-CO"/>
        </w:rPr>
        <w:t>https://atlas2020.amazoniasocioambiental.org/posts/actividades-extractivas-mineria</w:t>
      </w:r>
    </w:p>
  </w:footnote>
  <w:footnote w:id="25">
    <w:p w:rsidR="00527B8C" w:rsidP="002352AE" w:rsidRDefault="00212A57" w14:paraId="6BE9820C" w14:textId="77777777">
      <w:pPr>
        <w:pStyle w:val="Textonotapie"/>
        <w:ind w:left="252" w:hanging="252" w:hangingChars="126"/>
        <w:jc w:val="both"/>
        <w:rPr>
          <w:rFonts w:cs="Calibri"/>
        </w:rPr>
      </w:pPr>
      <w:r>
        <w:rPr>
          <w:rStyle w:val="Refdenotaalpie"/>
          <w:rFonts w:cs="Calibri"/>
        </w:rPr>
        <w:footnoteRef/>
      </w:r>
      <w:r>
        <w:rPr>
          <w:rFonts w:cs="Calibri"/>
        </w:rPr>
        <w:t xml:space="preserve"> </w:t>
      </w:r>
      <w:r>
        <w:rPr>
          <w:rFonts w:cs="Calibri"/>
          <w:color w:val="222222"/>
        </w:rPr>
        <w:t xml:space="preserve">Nieves-Solarte, F. A., y Ruiz-Fajardo, J. E. (2021). Procesos de deforestación asociados a la minería legal en la Amazonía colombiana. </w:t>
      </w:r>
      <w:r>
        <w:rPr>
          <w:rFonts w:cs="Calibri"/>
          <w:i/>
          <w:iCs/>
          <w:color w:val="222222"/>
        </w:rPr>
        <w:t>Revista Ontare</w:t>
      </w:r>
      <w:r>
        <w:rPr>
          <w:rFonts w:cs="Calibri"/>
          <w:color w:val="222222"/>
        </w:rPr>
        <w:t xml:space="preserve">, </w:t>
      </w:r>
      <w:r>
        <w:rPr>
          <w:rFonts w:cs="Calibri"/>
          <w:i/>
          <w:iCs/>
          <w:color w:val="222222"/>
        </w:rPr>
        <w:t>9</w:t>
      </w:r>
      <w:r>
        <w:rPr>
          <w:rFonts w:cs="Calibri"/>
          <w:color w:val="222222"/>
        </w:rPr>
        <w:t>. https://doi.org/10.21158/23823399.v9.n0.2021.2943</w:t>
      </w:r>
    </w:p>
  </w:footnote>
  <w:footnote w:id="26">
    <w:p w:rsidR="00527B8C" w:rsidP="002352AE" w:rsidRDefault="00212A57" w14:paraId="782EFA92" w14:textId="77777777">
      <w:pPr>
        <w:pStyle w:val="Textonotapie"/>
        <w:ind w:left="252" w:hanging="252" w:hangingChars="126"/>
        <w:jc w:val="both"/>
        <w:rPr>
          <w:rFonts w:cs="Calibri"/>
          <w:lang w:val="es-CO"/>
        </w:rPr>
      </w:pPr>
      <w:r>
        <w:rPr>
          <w:rStyle w:val="Refdenotaalpie"/>
          <w:rFonts w:cs="Calibri"/>
        </w:rPr>
        <w:footnoteRef/>
      </w:r>
      <w:r>
        <w:rPr>
          <w:rFonts w:cs="Calibri"/>
          <w:lang w:val="es-CO"/>
        </w:rPr>
        <w:t xml:space="preserve"> UNODC. 2022. Evidencias a partir de percepción remota 2021, Colombia Explotación de Oro de Aluvión. </w:t>
      </w:r>
    </w:p>
  </w:footnote>
  <w:footnote w:id="27">
    <w:p w:rsidR="00527B8C" w:rsidP="002352AE" w:rsidRDefault="00212A57" w14:paraId="3D4FA8C0" w14:textId="77777777">
      <w:pPr>
        <w:pStyle w:val="Textonotapie"/>
        <w:ind w:left="252" w:hanging="252" w:hangingChars="126"/>
        <w:jc w:val="both"/>
        <w:rPr>
          <w:rFonts w:cs="Calibri"/>
        </w:rPr>
      </w:pPr>
      <w:r>
        <w:rPr>
          <w:rStyle w:val="Refdenotaalpie"/>
          <w:rFonts w:cs="Calibri"/>
        </w:rPr>
        <w:footnoteRef/>
      </w:r>
      <w:r>
        <w:rPr>
          <w:rFonts w:cs="Calibri"/>
        </w:rPr>
        <w:t xml:space="preserve"> </w:t>
      </w:r>
      <w:r>
        <w:rPr>
          <w:rFonts w:eastAsia="Verdana" w:cs="Calibri"/>
          <w:color w:val="000000" w:themeColor="text1"/>
        </w:rPr>
        <w:t xml:space="preserve">Güiza, L., Peñuela, N., &amp; Ríos, J. (2020). Desafíos del Estado colombiano en torno al aprovechamiento ilícito de oro y los cultivos de uso ilícito en la Amazonía: estudio de caso de San José del Fragua (Caquetá). </w:t>
      </w:r>
      <w:r>
        <w:rPr>
          <w:rFonts w:eastAsia="Verdana" w:cs="Calibri"/>
          <w:i/>
          <w:iCs/>
          <w:color w:val="000000" w:themeColor="text1"/>
        </w:rPr>
        <w:t>Estudios Socio-jurídicos, 22</w:t>
      </w:r>
      <w:r>
        <w:rPr>
          <w:rFonts w:eastAsia="Verdana" w:cs="Calibri"/>
          <w:color w:val="000000" w:themeColor="text1"/>
        </w:rPr>
        <w:t xml:space="preserve">(2), 291-317. En: </w:t>
      </w:r>
      <w:hyperlink r:id="rId21">
        <w:r w:rsidR="00527B8C">
          <w:rPr>
            <w:rStyle w:val="Hipervnculo"/>
            <w:rFonts w:eastAsia="Verdana" w:cs="Calibri"/>
          </w:rPr>
          <w:t>https://doi.org/10.12804/revistas.urosario.edu.co/sociojuridicos/a.8663</w:t>
        </w:r>
      </w:hyperlink>
    </w:p>
  </w:footnote>
  <w:footnote w:id="28">
    <w:p w:rsidR="00527B8C" w:rsidRDefault="00212A57" w14:paraId="3409B560" w14:textId="77777777">
      <w:pPr>
        <w:pStyle w:val="Textonotapie"/>
        <w:ind w:left="252" w:hanging="252" w:hangingChars="126"/>
        <w:jc w:val="both"/>
        <w:rPr>
          <w:rFonts w:cs="Calibri"/>
        </w:rPr>
      </w:pPr>
      <w:r>
        <w:rPr>
          <w:rStyle w:val="Refdenotaalpie"/>
          <w:rFonts w:cs="Calibri"/>
        </w:rPr>
        <w:footnoteRef/>
      </w:r>
      <w:r>
        <w:rPr>
          <w:rFonts w:cs="Calibri"/>
        </w:rPr>
        <w:t xml:space="preserve"> Instituto Amazónico de Investigaciones Científicas. 2019. Minería, impactos sociales en la minería. En: </w:t>
      </w:r>
      <w:hyperlink r:id="rId22">
        <w:r w:rsidR="00527B8C">
          <w:rPr>
            <w:rStyle w:val="Hipervnculo"/>
            <w:rFonts w:cs="Calibri"/>
          </w:rPr>
          <w:t>https://www.sinchi.org.co/files/publicaciones/novedades%20editoriales/pdf/Mineri%CC%81a%20en%20la%20Amazonia%20%28LowRes%29.pdf?utm_source=chatgpt.com</w:t>
        </w:r>
      </w:hyperlink>
      <w:r>
        <w:rPr>
          <w:rFonts w:cs="Calibri"/>
        </w:rPr>
        <w:t xml:space="preserve"> </w:t>
      </w:r>
    </w:p>
  </w:footnote>
  <w:footnote w:id="29">
    <w:p w:rsidR="00527B8C" w:rsidRDefault="00212A57" w14:paraId="738005BB" w14:textId="77777777">
      <w:pPr>
        <w:pStyle w:val="Textonotapie"/>
        <w:shd w:val="clear" w:color="auto" w:fill="F7F7F7"/>
        <w:spacing w:after="360"/>
        <w:ind w:left="252" w:hanging="252" w:hangingChars="126"/>
        <w:jc w:val="both"/>
        <w:rPr>
          <w:rFonts w:cs="Calibri"/>
          <w:color w:val="141414"/>
        </w:rPr>
      </w:pPr>
      <w:r>
        <w:rPr>
          <w:rStyle w:val="Refdenotaalpie"/>
          <w:rFonts w:cs="Calibri"/>
        </w:rPr>
        <w:footnoteRef/>
      </w:r>
      <w:r>
        <w:rPr>
          <w:rFonts w:cs="Calibri"/>
        </w:rPr>
        <w:t xml:space="preserve"> Lizarazo, Paula. 17 de abril de 2023. </w:t>
      </w:r>
      <w:r>
        <w:rPr>
          <w:rFonts w:cs="Calibri"/>
          <w:color w:val="141414"/>
        </w:rPr>
        <w:t>El aumento de la minería ilegal amenaza a un pueblo del Amazonas en aislamiento. En: https://infoamazonia.org/es/2023/04/09/mineria-ilegal-amenaza-pueblo-del-amazonas-en-aislamiento/</w:t>
      </w:r>
    </w:p>
  </w:footnote>
  <w:footnote w:id="30">
    <w:p w:rsidR="00527B8C" w:rsidRDefault="00212A57" w14:paraId="1168B951" w14:textId="77777777">
      <w:pPr>
        <w:pStyle w:val="Textonotapie"/>
        <w:ind w:left="252" w:hanging="252" w:hangingChars="126"/>
        <w:jc w:val="both"/>
        <w:rPr>
          <w:rFonts w:cs="Calibri"/>
        </w:rPr>
      </w:pPr>
      <w:r>
        <w:rPr>
          <w:rStyle w:val="Refdenotaalpie"/>
          <w:rFonts w:cs="Calibri"/>
        </w:rPr>
        <w:footnoteRef/>
      </w:r>
      <w:r>
        <w:rPr>
          <w:rFonts w:cs="Calibri"/>
        </w:rPr>
        <w:t xml:space="preserve"> Organización del Tratado de Cooperación Amazónica (OTCA). </w:t>
      </w:r>
      <w:r>
        <w:rPr>
          <w:rFonts w:cs="Calibri"/>
          <w:i/>
          <w:iCs/>
        </w:rPr>
        <w:t>Declaración de Bogotá: Cumbre de Presidentes Amazónicos</w:t>
      </w:r>
      <w:r>
        <w:rPr>
          <w:rFonts w:cs="Calibri"/>
        </w:rPr>
        <w:t xml:space="preserve"> (2025). Recuperado de https://otca.org/wp-content/uploads/2025/08/DECLARACION-DE-BOGOTA_Cumbre-Presidentes.pdf</w:t>
      </w:r>
    </w:p>
  </w:footnote>
  <w:footnote w:id="31">
    <w:p w:rsidR="00527B8C" w:rsidRDefault="00212A57" w14:paraId="799A1EEE" w14:textId="77777777">
      <w:pPr>
        <w:pStyle w:val="Textonotapie"/>
        <w:ind w:left="252" w:hanging="252" w:hangingChars="126"/>
        <w:jc w:val="both"/>
        <w:rPr>
          <w:rFonts w:cs="Calibri"/>
          <w:lang w:val="es-CO"/>
        </w:rPr>
      </w:pPr>
      <w:r>
        <w:rPr>
          <w:rStyle w:val="Refdenotaalpie"/>
          <w:rFonts w:cs="Calibri"/>
        </w:rPr>
        <w:footnoteRef/>
      </w:r>
      <w:r>
        <w:rPr>
          <w:rFonts w:cs="Calibri"/>
          <w:lang w:val="es-CO"/>
        </w:rPr>
        <w:t xml:space="preserve"> Ministerio de Ambiente y Desarrollo Sostenible. </w:t>
      </w:r>
      <w:r>
        <w:rPr>
          <w:rFonts w:cs="Calibri"/>
          <w:i/>
          <w:iCs/>
          <w:lang w:val="es-CO"/>
        </w:rPr>
        <w:t>En consulta: Resolución que crea reserva en Amazonia como medida de protección ambiental y climática</w:t>
      </w:r>
      <w:r>
        <w:rPr>
          <w:rFonts w:cs="Calibri"/>
          <w:lang w:val="es-CO"/>
        </w:rPr>
        <w:t xml:space="preserve"> (s.f.). Recuperado de https://www.minambiente.gov.co/en-consulta-resolucion-que-crea-reserva-en-amazonia-como-medida-de-proteccion-ambiental-y-climatica/</w:t>
      </w:r>
    </w:p>
  </w:footnote>
  <w:footnote w:id="32">
    <w:p w:rsidR="00527B8C" w:rsidRDefault="00212A57" w14:paraId="28A18DBE" w14:textId="77777777">
      <w:pPr>
        <w:pStyle w:val="Textonotapie"/>
        <w:ind w:left="252" w:hanging="252" w:hangingChars="126"/>
        <w:rPr>
          <w:rFonts w:cs="Calibri"/>
          <w:lang w:val="es-CO"/>
        </w:rPr>
      </w:pPr>
      <w:r>
        <w:rPr>
          <w:rStyle w:val="Refdenotaalpie"/>
          <w:rFonts w:cs="Calibri"/>
        </w:rPr>
        <w:footnoteRef/>
      </w:r>
      <w:r>
        <w:rPr>
          <w:rFonts w:cs="Calibri"/>
          <w:lang w:val="es-CO"/>
        </w:rPr>
        <w:t xml:space="preserve"> Departamento Nacional de Planeación (DNP). </w:t>
      </w:r>
      <w:r>
        <w:rPr>
          <w:rFonts w:cs="Calibri"/>
          <w:i/>
          <w:iCs/>
          <w:lang w:val="es-CO"/>
        </w:rPr>
        <w:t>Buscador de documentos CONPES aprobados</w:t>
      </w:r>
      <w:r>
        <w:rPr>
          <w:rFonts w:cs="Calibri"/>
          <w:lang w:val="es-CO"/>
        </w:rPr>
        <w:t xml:space="preserve"> (s.f.). Recuperado de https://www.dnp.gov.co/conpes/Paginas/buscador-conpes-aprobados.aspx</w:t>
      </w:r>
    </w:p>
  </w:footnote>
  <w:footnote w:id="33">
    <w:p w:rsidR="00527B8C" w:rsidP="00590D90" w:rsidRDefault="00212A57" w14:paraId="58C78079" w14:textId="77777777">
      <w:pPr>
        <w:pStyle w:val="Textonotapie"/>
        <w:ind w:left="252" w:hanging="252" w:hangingChars="126"/>
        <w:jc w:val="both"/>
        <w:rPr>
          <w:rFonts w:cs="Calibri"/>
          <w:lang w:val="es-CO"/>
        </w:rPr>
      </w:pPr>
      <w:r>
        <w:rPr>
          <w:rStyle w:val="Refdenotaalpie"/>
          <w:rFonts w:cs="Calibri"/>
        </w:rPr>
        <w:footnoteRef/>
      </w:r>
      <w:r>
        <w:rPr>
          <w:rFonts w:cs="Calibri"/>
          <w:lang w:val="es-CO"/>
        </w:rPr>
        <w:t xml:space="preserve"> Ministerio de Ambiente, Vivienda y Desarrollo Territorial &amp; Corporación para el Desarrollo Sostenible del Sur de la Amazonía (CORPOAMAZONÍA). (2009, noviembre). </w:t>
      </w:r>
      <w:r>
        <w:rPr>
          <w:rFonts w:cs="Calibri"/>
          <w:i/>
          <w:iCs/>
          <w:lang w:val="es-CO"/>
        </w:rPr>
        <w:t>Plan de ordenación y manejo de la Cuenca alta del río Putumayo</w:t>
      </w:r>
      <w:r>
        <w:rPr>
          <w:rFonts w:cs="Calibri"/>
          <w:lang w:val="es-CO"/>
        </w:rPr>
        <w:t xml:space="preserve">. Recuperado de </w:t>
      </w:r>
      <w:hyperlink w:history="1" r:id="rId23">
        <w:r w:rsidR="00527B8C">
          <w:rPr>
            <w:rStyle w:val="Hipervnculo"/>
            <w:rFonts w:cs="Calibri"/>
            <w:lang w:val="es-CO"/>
          </w:rPr>
          <w:t>https://repositorio.gestiondelriesgo.gov.co:8443/handle/20.500.11762/22579</w:t>
        </w:r>
      </w:hyperlink>
    </w:p>
  </w:footnote>
  <w:footnote w:id="34">
    <w:p w:rsidR="00590D90" w:rsidP="00590D90" w:rsidRDefault="00212A57" w14:paraId="6D10F404" w14:textId="77777777">
      <w:pPr>
        <w:pStyle w:val="Textonotapie"/>
        <w:ind w:left="252" w:hanging="252" w:hangingChars="126"/>
        <w:jc w:val="both"/>
        <w:rPr>
          <w:rFonts w:cs="Calibri"/>
          <w:lang w:val="es-CO"/>
        </w:rPr>
      </w:pPr>
      <w:r>
        <w:rPr>
          <w:rStyle w:val="Refdenotaalpie"/>
          <w:rFonts w:cs="Calibri"/>
        </w:rPr>
        <w:footnoteRef/>
      </w:r>
      <w:r>
        <w:rPr>
          <w:rFonts w:cs="Calibri"/>
          <w:lang w:val="es-CO"/>
        </w:rPr>
        <w:t xml:space="preserve"> Loregonu. (2017, febrero 21). </w:t>
      </w:r>
      <w:r>
        <w:rPr>
          <w:rFonts w:cs="Calibri"/>
          <w:i/>
          <w:iCs/>
          <w:lang w:val="es-CO"/>
        </w:rPr>
        <w:t>Informe cuenca río Caquetá</w:t>
      </w:r>
      <w:r>
        <w:rPr>
          <w:rFonts w:cs="Calibri"/>
          <w:lang w:val="es-CO"/>
        </w:rPr>
        <w:t xml:space="preserve">. Recuperado de </w:t>
      </w:r>
    </w:p>
    <w:p w:rsidR="00527B8C" w:rsidP="00590D90" w:rsidRDefault="00590D90" w14:paraId="7898829D" w14:textId="19A0737C">
      <w:pPr>
        <w:pStyle w:val="Textonotapie"/>
        <w:ind w:left="252" w:hanging="252" w:hangingChars="126"/>
        <w:jc w:val="both"/>
        <w:rPr>
          <w:rFonts w:cs="Calibri"/>
          <w:lang w:val="es-CO"/>
        </w:rPr>
      </w:pPr>
      <w:hyperlink w:history="1" r:id="rId24">
        <w:r w:rsidRPr="006C6571">
          <w:rPr>
            <w:rStyle w:val="Hipervnculo"/>
            <w:rFonts w:cs="Calibri"/>
            <w:lang w:val="es-CO"/>
          </w:rPr>
          <w:t>https://www.clubensayos.com/Informes-de-Libros/INFORME-CUENCA-RIO-CAQUETA/3832049.html</w:t>
        </w:r>
      </w:hyperlink>
    </w:p>
  </w:footnote>
  <w:footnote w:id="35">
    <w:p w:rsidR="00527B8C" w:rsidP="00CD75B8" w:rsidRDefault="00212A57" w14:paraId="252F002C" w14:textId="74EC5F6B">
      <w:pPr>
        <w:pStyle w:val="Textonotapie"/>
        <w:ind w:left="252" w:hanging="252" w:hangingChars="126"/>
        <w:rPr>
          <w:rFonts w:cs="Calibri"/>
        </w:rPr>
      </w:pPr>
      <w:r>
        <w:rPr>
          <w:rStyle w:val="Refdenotaalpie"/>
          <w:rFonts w:cs="Calibri"/>
        </w:rPr>
        <w:footnoteRef/>
      </w:r>
      <w:r>
        <w:rPr>
          <w:rFonts w:cs="Calibri" w:eastAsiaTheme="majorEastAsia"/>
        </w:rPr>
        <w:t xml:space="preserve"> </w:t>
      </w:r>
      <w:r>
        <w:rPr>
          <w:rFonts w:cs="Calibri" w:eastAsiaTheme="majorEastAsia"/>
          <w:lang w:val="es-CO"/>
        </w:rPr>
        <w:t xml:space="preserve">Instituto Amazónico de Investigaciones Científicas – SINCHI. (2023). </w:t>
      </w:r>
      <w:r>
        <w:rPr>
          <w:rFonts w:cs="Calibri" w:eastAsiaTheme="majorEastAsia"/>
          <w:i/>
          <w:iCs/>
          <w:lang w:val="es-CO"/>
        </w:rPr>
        <w:t>Atlas: Voces del territorio de Alto Putumayo</w:t>
      </w:r>
      <w:r>
        <w:rPr>
          <w:rFonts w:cs="Calibri" w:eastAsiaTheme="majorEastAsia"/>
          <w:lang w:val="es-CO"/>
        </w:rPr>
        <w:t xml:space="preserve">. Recuperado de </w:t>
      </w:r>
      <w:hyperlink r:id="rId25">
        <w:r w:rsidR="00527B8C">
          <w:rPr>
            <w:rStyle w:val="Hipervnculo"/>
            <w:rFonts w:cs="Calibri" w:eastAsiaTheme="majorEastAsia"/>
            <w:lang w:val="es-CO"/>
          </w:rPr>
          <w:t>https://siatac.co/atlas-voces-del-territorio-de-alto-putumayo/</w:t>
        </w:r>
      </w:hyperlink>
    </w:p>
  </w:footnote>
  <w:footnote w:id="36">
    <w:p w:rsidR="00527B8C" w:rsidP="00CD75B8" w:rsidRDefault="00212A57" w14:paraId="172668E9" w14:textId="77777777">
      <w:pPr>
        <w:pStyle w:val="Textonotapie"/>
        <w:ind w:left="252" w:hanging="252" w:hangingChars="126"/>
        <w:jc w:val="both"/>
        <w:rPr>
          <w:rFonts w:cs="Calibri"/>
          <w:lang w:val="es-CO"/>
        </w:rPr>
      </w:pPr>
      <w:r>
        <w:rPr>
          <w:rStyle w:val="Refdenotaalpie"/>
          <w:rFonts w:cs="Calibri"/>
        </w:rPr>
        <w:footnoteRef/>
      </w:r>
      <w:r>
        <w:rPr>
          <w:rFonts w:cs="Calibri"/>
          <w:lang w:val="en-US"/>
        </w:rPr>
        <w:t xml:space="preserve"> Cossio, C. H. J. (s.f.). </w:t>
      </w:r>
      <w:r>
        <w:rPr>
          <w:rFonts w:cs="Calibri"/>
          <w:i/>
          <w:iCs/>
        </w:rPr>
        <w:t>Capítulo 5</w:t>
      </w:r>
      <w:r>
        <w:rPr>
          <w:rFonts w:cs="Calibri"/>
        </w:rPr>
        <w:t xml:space="preserve"> [Tesis de licenciatura, Universidad de las Américas Puebla]. Recuperado de https://catarina.udlap.mx/u_dl_a/tales/documentos/lic/cossio_c_hj/capitulo5.pdf</w:t>
      </w:r>
    </w:p>
  </w:footnote>
  <w:footnote w:id="37">
    <w:p w:rsidR="00527B8C" w:rsidRDefault="00212A57" w14:paraId="37936CB7" w14:textId="77777777">
      <w:pPr>
        <w:pStyle w:val="Textonotapie"/>
        <w:ind w:left="252" w:hanging="252" w:hangingChars="126"/>
        <w:jc w:val="both"/>
        <w:rPr>
          <w:rFonts w:cs="Calibri"/>
          <w:lang w:val="es-CO"/>
        </w:rPr>
      </w:pPr>
      <w:r>
        <w:rPr>
          <w:rStyle w:val="Refdenotaalpie"/>
          <w:rFonts w:cs="Calibri"/>
        </w:rPr>
        <w:footnoteRef/>
      </w:r>
      <w:r>
        <w:rPr>
          <w:rFonts w:cs="Calibri"/>
          <w:lang w:val="es-CO"/>
        </w:rPr>
        <w:t xml:space="preserve"> Universidad Nacional Autónoma de México (UNAM). </w:t>
      </w:r>
      <w:r>
        <w:rPr>
          <w:rFonts w:cs="Calibri"/>
          <w:i/>
          <w:iCs/>
          <w:lang w:val="es-CO"/>
        </w:rPr>
        <w:t>Documento académico</w:t>
      </w:r>
      <w:r>
        <w:rPr>
          <w:rFonts w:cs="Calibri"/>
          <w:lang w:val="es-CO"/>
        </w:rPr>
        <w:t xml:space="preserve"> (s.f.). Recuperado de http://www.ptolomeo.unam.mx:8080/xmlui/bitstream/handle/132.248.52.100/347/A5.pdf?sequence=5</w:t>
      </w:r>
    </w:p>
  </w:footnote>
  <w:footnote w:id="38">
    <w:p w:rsidR="00527B8C" w:rsidRDefault="00212A57" w14:paraId="2DBE798E" w14:textId="77777777">
      <w:pPr>
        <w:pStyle w:val="Textonotapie"/>
        <w:ind w:left="252" w:hanging="252" w:hangingChars="126"/>
        <w:jc w:val="both"/>
        <w:rPr>
          <w:rFonts w:cs="Calibri"/>
          <w:lang w:val="es-CO"/>
        </w:rPr>
      </w:pPr>
      <w:r>
        <w:rPr>
          <w:rStyle w:val="Refdenotaalpie"/>
          <w:rFonts w:cs="Calibri"/>
        </w:rPr>
        <w:footnoteRef/>
      </w:r>
      <w:r>
        <w:rPr>
          <w:rFonts w:cs="Calibri"/>
          <w:lang w:val="es-CO"/>
        </w:rPr>
        <w:t xml:space="preserve"> Universitat Politècnica de Catalunya (UPC). </w:t>
      </w:r>
      <w:r>
        <w:rPr>
          <w:rFonts w:cs="Calibri"/>
          <w:i/>
          <w:iCs/>
          <w:lang w:val="es-CO"/>
        </w:rPr>
        <w:t>Procesos fluviales</w:t>
      </w:r>
      <w:r>
        <w:rPr>
          <w:rFonts w:cs="Calibri"/>
          <w:lang w:val="es-CO"/>
        </w:rPr>
        <w:t xml:space="preserve"> (s.f.). Recuperado de https://deca.upc.edu/es/el-departamento/secciones/itcg/docencia/asignaturas/geolquat/teoria/T4/T4-PFD-fluviales-1</w:t>
      </w:r>
    </w:p>
  </w:footnote>
  <w:footnote w:id="39">
    <w:p w:rsidR="00643496" w:rsidP="00643496" w:rsidRDefault="00212A57" w14:paraId="48A23832" w14:textId="73B38E11">
      <w:pPr>
        <w:pStyle w:val="Textonotapie"/>
        <w:ind w:left="252" w:hanging="252" w:hangingChars="126"/>
        <w:jc w:val="both"/>
        <w:rPr>
          <w:rFonts w:eastAsia="Segoe UI" w:cs="Calibri"/>
          <w:lang w:val="es-CO"/>
        </w:rPr>
      </w:pPr>
      <w:r>
        <w:rPr>
          <w:rStyle w:val="Refdenotaalpie"/>
          <w:rFonts w:cs="Calibri"/>
        </w:rPr>
        <w:footnoteRef/>
      </w:r>
      <w:r>
        <w:rPr>
          <w:rFonts w:cs="Calibri"/>
        </w:rPr>
        <w:t xml:space="preserve"> </w:t>
      </w:r>
      <w:r w:rsidR="00643496">
        <w:rPr>
          <w:rFonts w:cs="Calibri"/>
        </w:rPr>
        <w:tab/>
      </w:r>
      <w:r>
        <w:rPr>
          <w:rFonts w:eastAsia="Segoe UI" w:cs="Calibri"/>
        </w:rPr>
        <w:t xml:space="preserve">Secretaría de Medio Ambiente y Recursos Naturales (SEMARNAT). (s. f.). </w:t>
      </w:r>
      <w:r>
        <w:rPr>
          <w:rFonts w:eastAsia="Segoe UI" w:cs="Calibri"/>
          <w:i/>
          <w:iCs/>
        </w:rPr>
        <w:t>P 2.1.1 Sistema Nacional de Información Ambiental y de Recursos Naturales: Indicadores de crecimiento verde – Extracción de materiales</w:t>
      </w:r>
      <w:r>
        <w:rPr>
          <w:rFonts w:eastAsia="Segoe UI" w:cs="Calibri"/>
        </w:rPr>
        <w:t>. Recuperado el 11 de Secretaría de Medio Ambiente y Recursos Naturales. (s. f.). Indicadores verdes: Productividad 2.1.1. Gobierno de México.</w:t>
      </w:r>
      <w:r>
        <w:rPr>
          <w:rFonts w:eastAsia="Segoe UI" w:cs="Calibri"/>
          <w:lang w:val="es-CO"/>
        </w:rPr>
        <w:t xml:space="preserve"> Recuperado de: </w:t>
      </w:r>
    </w:p>
    <w:p w:rsidR="00527B8C" w:rsidP="00643496" w:rsidRDefault="00643496" w14:paraId="7F4A0497" w14:textId="48C602B4">
      <w:pPr>
        <w:pStyle w:val="Textonotapie"/>
        <w:ind w:left="252"/>
        <w:jc w:val="both"/>
        <w:rPr>
          <w:rFonts w:eastAsia="Segoe UI" w:cs="Calibri"/>
        </w:rPr>
      </w:pPr>
      <w:hyperlink w:history="1" w:anchor=":~:text=Promueven%20la%20p%C3%A9rdida%20y%20degradaci%C3%B3n,colaterales%20en%20la%20salud%20humana" r:id="rId26">
        <w:r w:rsidRPr="006C6571">
          <w:rPr>
            <w:rStyle w:val="Hipervnculo"/>
            <w:rFonts w:eastAsia="Segoe UI" w:cs="Calibri"/>
          </w:rPr>
          <w:t>https://apps1.semarnat.gob.mx:8443/dgeia/indicadores_verdes17/indicadores/02_productividad/2.1.1.html#:~:text=Promueven%20la%20p%C3%A9rdida%20y%20degradaci%C3%B3n,colaterales%20en%20la%20salud%20humana</w:t>
        </w:r>
      </w:hyperlink>
    </w:p>
  </w:footnote>
  <w:footnote w:id="40">
    <w:p w:rsidR="00527B8C" w:rsidP="00643496" w:rsidRDefault="00212A57" w14:paraId="559F040C" w14:textId="77777777">
      <w:pPr>
        <w:pStyle w:val="Textonotapie"/>
        <w:ind w:left="252" w:hanging="252" w:hangingChars="126"/>
        <w:jc w:val="both"/>
        <w:rPr>
          <w:rStyle w:val="Hipervnculo"/>
          <w:rFonts w:cs="Calibri"/>
          <w:color w:val="0563C1"/>
          <w:lang w:val="es-CO"/>
        </w:rPr>
      </w:pPr>
      <w:r>
        <w:rPr>
          <w:rStyle w:val="Refdenotaalpie"/>
          <w:rFonts w:cs="Calibri"/>
          <w:lang w:val="en-US"/>
        </w:rPr>
        <w:footnoteRef/>
      </w:r>
      <w:r>
        <w:rPr>
          <w:rFonts w:cs="Calibri"/>
          <w:lang w:val="en-US"/>
        </w:rPr>
        <w:t xml:space="preserve"> Scottish Government. (2024). </w:t>
      </w:r>
      <w:r>
        <w:rPr>
          <w:rFonts w:cs="Calibri"/>
          <w:i/>
          <w:iCs/>
          <w:lang w:val="en-US"/>
        </w:rPr>
        <w:t>Air pollution impacts on the environment</w:t>
      </w:r>
      <w:r>
        <w:rPr>
          <w:rFonts w:cs="Calibri"/>
          <w:lang w:val="en-US"/>
        </w:rPr>
        <w:t>. </w:t>
      </w:r>
      <w:r>
        <w:rPr>
          <w:rFonts w:cs="Calibri"/>
          <w:lang w:val="es-CO"/>
        </w:rPr>
        <w:t xml:space="preserve">Scotland’s environment web. Recuperado el 11 de diciembre de 2025, de </w:t>
      </w:r>
      <w:hyperlink r:id="rId27">
        <w:r w:rsidR="00527B8C">
          <w:rPr>
            <w:rStyle w:val="Hipervnculo"/>
            <w:rFonts w:cs="Calibri"/>
            <w:lang w:val="es-CO"/>
          </w:rPr>
          <w:t>https://www.environment.gov.scot/our-environment/air/air-pollution-impacts-on-the-environment/</w:t>
        </w:r>
      </w:hyperlink>
      <w:r>
        <w:rPr>
          <w:rFonts w:cs="Calibri"/>
          <w:lang w:val="es-CO"/>
        </w:rPr>
        <w:t xml:space="preserve"> </w:t>
      </w:r>
      <w:hyperlink r:id="rId28">
        <w:r w:rsidR="00527B8C">
          <w:rPr>
            <w:rStyle w:val="Hipervnculo"/>
            <w:rFonts w:cs="Calibri"/>
            <w:color w:val="0563C1"/>
            <w:lang w:val="es-CO"/>
          </w:rPr>
          <w:t>[environment.gov.scot]</w:t>
        </w:r>
      </w:hyperlink>
    </w:p>
  </w:footnote>
  <w:footnote w:id="41">
    <w:p w:rsidR="00527B8C" w:rsidP="00643496" w:rsidRDefault="00212A57" w14:paraId="506B2F7A" w14:textId="77777777">
      <w:pPr>
        <w:pStyle w:val="Textonotapie"/>
        <w:ind w:left="252" w:hanging="252" w:hangingChars="126"/>
        <w:jc w:val="both"/>
        <w:rPr>
          <w:rFonts w:cs="Calibri"/>
        </w:rPr>
      </w:pPr>
      <w:r>
        <w:rPr>
          <w:rStyle w:val="Refdenotaalpie"/>
          <w:rFonts w:cs="Calibri"/>
        </w:rPr>
        <w:footnoteRef/>
      </w:r>
      <w:r>
        <w:rPr>
          <w:rFonts w:cs="Calibri"/>
        </w:rPr>
        <w:t xml:space="preserve"> Luna Hernández, J. (2015). El impacto ambiental por la actividad de explotación de canteras en la localidad de Usme y sus principales medidas de manejo [Trabajo de grado, institución no especificada]. Repositorio institucional.</w:t>
      </w:r>
      <w:r>
        <w:rPr>
          <w:rFonts w:cs="Calibri"/>
          <w:lang w:val="es-CO"/>
        </w:rPr>
        <w:t xml:space="preserve"> Recuperado de: </w:t>
      </w:r>
      <w:hyperlink r:id="rId29">
        <w:r w:rsidR="00527B8C">
          <w:rPr>
            <w:rStyle w:val="Hipervnculo"/>
            <w:rFonts w:cs="Calibri"/>
            <w:lang w:val="es"/>
          </w:rPr>
          <w:t>https://repository.umng.edu.co/server/api/core/bitstreams/c5c3273d-ac71-40a2-a966-044a82314d24/content</w:t>
        </w:r>
      </w:hyperlink>
    </w:p>
  </w:footnote>
  <w:footnote w:id="42">
    <w:p w:rsidR="00527B8C" w:rsidP="00643496" w:rsidRDefault="00212A57" w14:paraId="3B094379" w14:textId="77777777">
      <w:pPr>
        <w:pStyle w:val="Textonotapie"/>
        <w:ind w:left="252" w:hanging="252" w:hangingChars="126"/>
        <w:rPr>
          <w:rStyle w:val="Hipervnculo"/>
          <w:rFonts w:cs="Calibri"/>
        </w:rPr>
      </w:pPr>
      <w:r>
        <w:rPr>
          <w:rStyle w:val="Refdenotaalpie"/>
          <w:rFonts w:cs="Calibri"/>
        </w:rPr>
        <w:footnoteRef/>
      </w:r>
      <w:r>
        <w:rPr>
          <w:rFonts w:cs="Calibri"/>
        </w:rPr>
        <w:t xml:space="preserve"> </w:t>
      </w:r>
      <w:r>
        <w:rPr>
          <w:rFonts w:cs="Calibri"/>
          <w:lang w:val="es-CO"/>
        </w:rPr>
        <w:t xml:space="preserve">Martínez Ortiz, J. A. (2017). Revisión bibliográfica para el análisis de los impactos ambientales generados por la extracción de material de arrastre en cuerpos de agua: Caso de estudio: río Purnio [Trabajo de grado]. Repositorio Institucional UCM. Recuperado de:  </w:t>
      </w:r>
      <w:hyperlink w:tgtFrame="C:\Users\57311\AppData\Local\Temp\_new" w:history="1" r:id="rId30">
        <w:r w:rsidR="00527B8C">
          <w:rPr>
            <w:rFonts w:cs="Calibri"/>
            <w:lang w:val="es-CO"/>
          </w:rPr>
          <w:t>https://repositorio.ucm.edu.co/server/api/core/bitstreams/00da657c-80c8-40b1-a6a8-7682e41202ef/content</w:t>
        </w:r>
      </w:hyperlink>
    </w:p>
  </w:footnote>
  <w:footnote w:id="43">
    <w:p w:rsidR="00527B8C" w:rsidP="00643496" w:rsidRDefault="00212A57" w14:paraId="6D6E3EDD" w14:textId="77777777">
      <w:pPr>
        <w:pStyle w:val="Textonotapie"/>
        <w:ind w:left="252" w:hanging="252" w:hangingChars="126"/>
        <w:jc w:val="both"/>
        <w:rPr>
          <w:rFonts w:cs="Calibri"/>
          <w:lang w:val="es-CO"/>
        </w:rPr>
      </w:pPr>
      <w:r>
        <w:rPr>
          <w:rStyle w:val="Refdenotaalpie"/>
          <w:rFonts w:cs="Calibri"/>
        </w:rPr>
        <w:footnoteRef/>
      </w:r>
      <w:r>
        <w:rPr>
          <w:rFonts w:cs="Calibri"/>
          <w:lang w:val="es-CO"/>
        </w:rPr>
        <w:t xml:space="preserve"> Proyecto GEF Putumayo ICA. </w:t>
      </w:r>
      <w:r>
        <w:rPr>
          <w:rFonts w:cs="Calibri"/>
          <w:i/>
          <w:iCs/>
          <w:lang w:val="es-CO"/>
        </w:rPr>
        <w:t>Marco del proceso</w:t>
      </w:r>
      <w:r>
        <w:rPr>
          <w:rFonts w:cs="Calibri"/>
          <w:lang w:val="es-CO"/>
        </w:rPr>
        <w:t xml:space="preserve"> (2023). Recuperado de https://cuencaputumayoica.com/wp-content/uploads/2024/06/proyeco-gef-putumayo-ica-marco-del-proceso_28_04_2023.pdf</w:t>
      </w:r>
    </w:p>
  </w:footnote>
  <w:footnote w:id="44">
    <w:p w:rsidR="00527B8C" w:rsidRDefault="00527B8C" w14:paraId="396E902F" w14:textId="77777777">
      <w:pPr>
        <w:pStyle w:val="Textonotapie"/>
        <w:spacing w:after="160" w:line="276" w:lineRule="auto"/>
        <w:ind w:left="252" w:hanging="252" w:hangingChars="126"/>
        <w:rPr>
          <w:rFonts w:cs="Calibri"/>
        </w:rPr>
      </w:pPr>
    </w:p>
  </w:footnote>
  <w:footnote w:id="45">
    <w:p w:rsidR="00527B8C" w:rsidP="00643496" w:rsidRDefault="00212A57" w14:paraId="619E2421" w14:textId="77777777">
      <w:pPr>
        <w:pStyle w:val="Textonotapie"/>
        <w:ind w:left="252" w:hanging="252" w:hangingChars="126"/>
        <w:rPr>
          <w:rFonts w:cs="Calibri"/>
          <w:lang w:val="es-CO"/>
        </w:rPr>
      </w:pPr>
      <w:r>
        <w:rPr>
          <w:rStyle w:val="Refdenotaalpie"/>
          <w:rFonts w:cs="Calibri"/>
        </w:rPr>
        <w:footnoteRef/>
      </w:r>
      <w:r>
        <w:rPr>
          <w:rFonts w:cs="Calibri"/>
          <w:lang w:val="en-US"/>
        </w:rPr>
        <w:t xml:space="preserve"> EPICC Project. Territorial impact of global extraction: Putumayo, Colombia (s.f.). </w:t>
      </w:r>
      <w:r>
        <w:rPr>
          <w:rFonts w:cs="Calibri"/>
          <w:lang w:val="es-CO"/>
        </w:rPr>
        <w:t>Recuperado de https://es.epiccproject.org/territorial-impact-of-global-extraction/putumayo-colombia/</w:t>
      </w:r>
    </w:p>
  </w:footnote>
  <w:footnote w:id="46">
    <w:p w:rsidRPr="002352AE" w:rsidR="00527B8C" w:rsidP="00643496" w:rsidRDefault="00212A57" w14:paraId="0ADCE3A7" w14:textId="77777777">
      <w:pPr>
        <w:pStyle w:val="Textonotapie"/>
        <w:ind w:left="252" w:hanging="252" w:hangingChars="126"/>
        <w:rPr>
          <w:rFonts w:cs="Calibri"/>
          <w:lang w:val="es-CO"/>
        </w:rPr>
      </w:pPr>
      <w:r>
        <w:rPr>
          <w:rFonts w:cs="Calibri"/>
          <w:lang w:val="en-US"/>
        </w:rPr>
        <w:footnoteRef/>
      </w:r>
      <w:r w:rsidRPr="002352AE">
        <w:rPr>
          <w:rFonts w:cs="Calibri"/>
          <w:lang w:val="es-CO"/>
        </w:rPr>
        <w:t xml:space="preserve"> Fundación Gaia Amazonas. (s. f.). Amazonia colombiana. Recuperado el 11 de diciembre de 2025, de </w:t>
      </w:r>
      <w:hyperlink r:id="rId31">
        <w:r w:rsidRPr="002352AE" w:rsidR="00527B8C">
          <w:rPr>
            <w:rFonts w:cs="Calibri"/>
            <w:lang w:val="es-CO"/>
          </w:rPr>
          <w:t>https://gaiaamazonas.org/amazonia-colombiana/</w:t>
        </w:r>
      </w:hyperlink>
    </w:p>
  </w:footnote>
  <w:footnote w:id="47">
    <w:p w:rsidRPr="002352AE" w:rsidR="00527B8C" w:rsidP="00643496" w:rsidRDefault="00212A57" w14:paraId="57163317" w14:textId="77777777">
      <w:pPr>
        <w:pStyle w:val="Textonotapie"/>
        <w:ind w:left="252" w:hanging="252" w:hangingChars="126"/>
        <w:rPr>
          <w:rFonts w:cs="Calibri"/>
          <w:lang w:val="es-CO"/>
        </w:rPr>
      </w:pPr>
      <w:r>
        <w:rPr>
          <w:rFonts w:cs="Calibri"/>
          <w:lang w:val="en-US"/>
        </w:rPr>
        <w:footnoteRef/>
      </w:r>
      <w:r w:rsidRPr="002352AE">
        <w:rPr>
          <w:rFonts w:cs="Calibri"/>
          <w:lang w:val="es-CO"/>
        </w:rPr>
        <w:t xml:space="preserve"> Instituto Amazónico de Investigaciones Científicas SINCHI. (2020). Tasa media anual de pérdida de bosques (TMAPB). Recuperado el 11 de diciembre de 2025, de </w:t>
      </w:r>
      <w:hyperlink r:id="rId32">
        <w:r w:rsidRPr="002352AE" w:rsidR="00527B8C">
          <w:rPr>
            <w:rFonts w:cs="Calibri"/>
            <w:lang w:val="es-CO"/>
          </w:rPr>
          <w:t>https://ierna.sinchi.org.co/informe/01-tasa-media-anual-de-perdida-de-bosques-tmapb-2020/</w:t>
        </w:r>
      </w:hyperlink>
    </w:p>
  </w:footnote>
  <w:footnote w:id="48">
    <w:p w:rsidR="00527B8C" w:rsidP="00643496" w:rsidRDefault="00212A57" w14:paraId="09B2E6C1" w14:textId="77777777">
      <w:pPr>
        <w:pStyle w:val="Textonotapie"/>
        <w:ind w:left="252" w:hanging="252" w:hangingChars="126"/>
        <w:rPr>
          <w:rStyle w:val="Hipervnculo"/>
          <w:rFonts w:eastAsia="Segoe UI" w:cs="Calibri"/>
        </w:rPr>
      </w:pPr>
      <w:r>
        <w:rPr>
          <w:rStyle w:val="Refdenotaalpie"/>
          <w:rFonts w:cs="Calibri"/>
        </w:rPr>
        <w:footnoteRef/>
      </w:r>
      <w:r>
        <w:rPr>
          <w:rFonts w:cs="Calibri"/>
        </w:rPr>
        <w:t xml:space="preserve"> </w:t>
      </w:r>
      <w:r>
        <w:rPr>
          <w:rFonts w:eastAsia="Segoe UI" w:cs="Calibri"/>
        </w:rPr>
        <w:t xml:space="preserve">SIAT-AC. (2024). </w:t>
      </w:r>
      <w:r>
        <w:rPr>
          <w:rFonts w:eastAsia="Segoe UI" w:cs="Calibri"/>
          <w:i/>
          <w:iCs/>
        </w:rPr>
        <w:t>Atlas | Voces del Territorio de Alto Putumayo</w:t>
      </w:r>
      <w:r>
        <w:rPr>
          <w:rFonts w:eastAsia="Segoe UI" w:cs="Calibri"/>
        </w:rPr>
        <w:t xml:space="preserve">. Recuperado el 11 de diciembre de 2025 de </w:t>
      </w:r>
      <w:hyperlink r:id="rId33">
        <w:r w:rsidR="00527B8C">
          <w:rPr>
            <w:rStyle w:val="Hipervnculo"/>
            <w:rFonts w:eastAsia="Segoe UI" w:cs="Calibri"/>
          </w:rPr>
          <w:t>https://siatac.co/atlas-voces-del-territorio-de-alto-putumayo/</w:t>
        </w:r>
      </w:hyperlink>
    </w:p>
  </w:footnote>
  <w:footnote w:id="49">
    <w:p w:rsidR="00527B8C" w:rsidP="00643496" w:rsidRDefault="00212A57" w14:paraId="2F4B3515" w14:textId="77777777">
      <w:pPr>
        <w:pStyle w:val="Textonotapie"/>
        <w:ind w:left="252" w:hanging="252" w:hangingChars="126"/>
        <w:rPr>
          <w:rStyle w:val="Hipervnculo"/>
          <w:rFonts w:eastAsia="Segoe UI" w:cs="Calibri"/>
        </w:rPr>
      </w:pPr>
      <w:r>
        <w:rPr>
          <w:rStyle w:val="Refdenotaalpie"/>
          <w:rFonts w:cs="Calibri"/>
        </w:rPr>
        <w:footnoteRef/>
      </w:r>
      <w:r>
        <w:rPr>
          <w:rFonts w:cs="Calibri"/>
        </w:rPr>
        <w:t xml:space="preserve"> </w:t>
      </w:r>
      <w:r>
        <w:rPr>
          <w:rFonts w:eastAsia="Segoe UI" w:cs="Calibri"/>
        </w:rPr>
        <w:t xml:space="preserve">SIAT-AC. (2024). </w:t>
      </w:r>
      <w:r>
        <w:rPr>
          <w:rFonts w:eastAsia="Segoe UI" w:cs="Calibri"/>
          <w:i/>
          <w:iCs/>
        </w:rPr>
        <w:t>Atlas | Voces del Territorio de Alto Putumayo</w:t>
      </w:r>
      <w:r>
        <w:rPr>
          <w:rFonts w:eastAsia="Segoe UI" w:cs="Calibri"/>
        </w:rPr>
        <w:t xml:space="preserve">. Recuperado el 11 de diciembre de 2025 de </w:t>
      </w:r>
      <w:hyperlink r:id="rId34">
        <w:r w:rsidR="00527B8C">
          <w:rPr>
            <w:rStyle w:val="Hipervnculo"/>
            <w:rFonts w:eastAsia="Segoe UI" w:cs="Calibri"/>
          </w:rPr>
          <w:t>https://siatac.co/atlas-voces-del-territorio-de-alto-putumayo/</w:t>
        </w:r>
      </w:hyperlink>
    </w:p>
  </w:footnote>
  <w:footnote w:id="50">
    <w:p w:rsidR="00527B8C" w:rsidP="00182044" w:rsidRDefault="00212A57" w14:paraId="73403E98" w14:textId="77777777">
      <w:pPr>
        <w:pStyle w:val="Textonotapie"/>
        <w:ind w:left="252" w:hanging="252" w:hangingChars="126"/>
        <w:jc w:val="both"/>
        <w:rPr>
          <w:rFonts w:cs="Calibri"/>
        </w:rPr>
      </w:pPr>
      <w:r>
        <w:rPr>
          <w:rStyle w:val="Refdenotaalpie"/>
          <w:rFonts w:cs="Calibri"/>
        </w:rPr>
        <w:footnoteRef/>
      </w:r>
      <w:r>
        <w:rPr>
          <w:rFonts w:cs="Calibri"/>
        </w:rPr>
        <w:t xml:space="preserve"> Escobar, A.; Martinez, H. (2014). El sector minero colombiano actual. En J. Benavides (Comp.) Insumos para el desarrollo del Plan Nacional de Ordenamiento Minero. (1-68). Bogotá: Ediciones Uniandes. Recuperado de https://bit.ly/2V3zWdF</w:t>
      </w:r>
    </w:p>
  </w:footnote>
  <w:footnote w:id="51">
    <w:p w:rsidR="00527B8C" w:rsidP="00182044" w:rsidRDefault="00212A57" w14:paraId="02AE3081" w14:textId="77777777">
      <w:pPr>
        <w:pStyle w:val="Textonotapie"/>
        <w:ind w:left="252" w:hanging="252" w:hangingChars="126"/>
        <w:jc w:val="both"/>
        <w:rPr>
          <w:rFonts w:cs="Calibri"/>
        </w:rPr>
      </w:pPr>
      <w:r>
        <w:rPr>
          <w:rStyle w:val="Refdenotaalpie"/>
          <w:rFonts w:cs="Calibri"/>
        </w:rPr>
        <w:footnoteRef/>
      </w:r>
      <w:r>
        <w:rPr>
          <w:rFonts w:cs="Calibri"/>
        </w:rPr>
        <w:t xml:space="preserve"> Instituto Amazónico de Investigaciones Científicas</w:t>
      </w:r>
      <w:r>
        <w:rPr>
          <w:rFonts w:cs="Calibri"/>
          <w:lang w:val="es-CO"/>
        </w:rPr>
        <w:t xml:space="preserve"> (</w:t>
      </w:r>
      <w:r>
        <w:rPr>
          <w:rFonts w:cs="Calibri"/>
        </w:rPr>
        <w:t>2024</w:t>
      </w:r>
      <w:r>
        <w:rPr>
          <w:rFonts w:cs="Calibri"/>
          <w:lang w:val="es-CO"/>
        </w:rPr>
        <w:t>)</w:t>
      </w:r>
      <w:r>
        <w:rPr>
          <w:rFonts w:cs="Calibri"/>
        </w:rPr>
        <w:t xml:space="preserve">. Minería en los ríos San Pedro y San Francisco, alto Putumayo. Bogotá. </w:t>
      </w:r>
      <w:r>
        <w:rPr>
          <w:rFonts w:cs="Calibri"/>
          <w:lang w:val="es-CO"/>
        </w:rPr>
        <w:t xml:space="preserve">Recuperado de: </w:t>
      </w:r>
      <w:r>
        <w:rPr>
          <w:rFonts w:cs="Calibri"/>
        </w:rPr>
        <w:t xml:space="preserve"> </w:t>
      </w:r>
      <w:hyperlink r:id="rId35">
        <w:r w:rsidR="00527B8C">
          <w:rPr>
            <w:rStyle w:val="Hipervnculo"/>
            <w:rFonts w:cs="Calibri"/>
          </w:rPr>
          <w:t>https://siatac.co/Documentos/Atlas/conflictos/SINCHI029_V1_2024.pdf</w:t>
        </w:r>
      </w:hyperlink>
      <w:r>
        <w:rPr>
          <w:rFonts w:cs="Calibri"/>
        </w:rPr>
        <w:t xml:space="preserve"> </w:t>
      </w:r>
    </w:p>
  </w:footnote>
  <w:footnote w:id="52">
    <w:p w:rsidR="00182044" w:rsidP="00182044" w:rsidRDefault="00212A57" w14:paraId="066BA141" w14:textId="77777777">
      <w:pPr>
        <w:pStyle w:val="Textonotapie"/>
        <w:ind w:left="252" w:hanging="252" w:hangingChars="126"/>
        <w:jc w:val="both"/>
        <w:rPr>
          <w:rFonts w:cs="Calibri"/>
          <w:lang w:val="es"/>
        </w:rPr>
      </w:pPr>
      <w:r>
        <w:rPr>
          <w:rStyle w:val="Refdenotaalpie"/>
          <w:rFonts w:cs="Calibri"/>
        </w:rPr>
        <w:footnoteRef/>
      </w:r>
      <w:r>
        <w:rPr>
          <w:rFonts w:cs="Calibri"/>
        </w:rPr>
        <w:t xml:space="preserve"> </w:t>
      </w:r>
      <w:r>
        <w:rPr>
          <w:rFonts w:cs="Calibri"/>
          <w:lang w:val="es"/>
        </w:rPr>
        <w:t>Instituto Amazónico de Investigaciones Científicas</w:t>
      </w:r>
      <w:r>
        <w:rPr>
          <w:rFonts w:cs="Calibri"/>
          <w:lang w:val="es-CO"/>
        </w:rPr>
        <w:t xml:space="preserve"> (</w:t>
      </w:r>
      <w:r>
        <w:rPr>
          <w:rFonts w:cs="Calibri"/>
          <w:lang w:val="es"/>
        </w:rPr>
        <w:t>2024</w:t>
      </w:r>
      <w:r>
        <w:rPr>
          <w:rFonts w:cs="Calibri"/>
          <w:lang w:val="es-CO"/>
        </w:rPr>
        <w:t>)</w:t>
      </w:r>
      <w:r>
        <w:rPr>
          <w:rFonts w:cs="Calibri"/>
          <w:lang w:val="es"/>
        </w:rPr>
        <w:t xml:space="preserve">. Minería de grava en los resguardos del Refugio, La Fuga y Barrancón en Guaviare. Bogotá. </w:t>
      </w:r>
      <w:r>
        <w:rPr>
          <w:rFonts w:cs="Calibri"/>
          <w:lang w:val="es-CO"/>
        </w:rPr>
        <w:t>Recuperado de</w:t>
      </w:r>
      <w:r>
        <w:rPr>
          <w:rFonts w:cs="Calibri"/>
          <w:lang w:val="es"/>
        </w:rPr>
        <w:t xml:space="preserve">: </w:t>
      </w:r>
    </w:p>
    <w:p w:rsidR="00527B8C" w:rsidP="00182044" w:rsidRDefault="00182044" w14:paraId="6F876BE6" w14:textId="53FBF91A">
      <w:pPr>
        <w:pStyle w:val="Textonotapie"/>
        <w:ind w:left="252"/>
        <w:jc w:val="both"/>
        <w:rPr>
          <w:rFonts w:cs="Calibri"/>
          <w:lang w:val="es"/>
        </w:rPr>
      </w:pPr>
      <w:hyperlink w:history="1" r:id="rId36">
        <w:r w:rsidRPr="006C6571">
          <w:rPr>
            <w:rStyle w:val="Hipervnculo"/>
            <w:rFonts w:cs="Calibri"/>
            <w:lang w:val="es"/>
          </w:rPr>
          <w:t>https://siatac.co/Documentos/Atlas/conflictos/SINCHI010_V2_2023.pdf</w:t>
        </w:r>
      </w:hyperlink>
      <w:r>
        <w:rPr>
          <w:rFonts w:cs="Calibri"/>
          <w:lang w:val="es"/>
        </w:rPr>
        <w:t xml:space="preserve"> </w:t>
      </w:r>
    </w:p>
  </w:footnote>
  <w:footnote w:id="53">
    <w:p w:rsidR="00527B8C" w:rsidP="00182044" w:rsidRDefault="00212A57" w14:paraId="394348C0" w14:textId="77777777">
      <w:pPr>
        <w:pStyle w:val="Textonotapie"/>
        <w:ind w:left="252" w:hanging="252" w:hangingChars="126"/>
        <w:jc w:val="both"/>
        <w:rPr>
          <w:rFonts w:eastAsia="Candara" w:cs="Calibri"/>
          <w:lang w:val="es"/>
        </w:rPr>
      </w:pPr>
      <w:r>
        <w:rPr>
          <w:rStyle w:val="Refdenotaalpie"/>
          <w:rFonts w:cs="Calibri"/>
        </w:rPr>
        <w:footnoteRef/>
      </w:r>
      <w:r>
        <w:rPr>
          <w:rFonts w:cs="Calibri"/>
        </w:rPr>
        <w:t xml:space="preserve"> </w:t>
      </w:r>
      <w:r>
        <w:rPr>
          <w:rFonts w:eastAsia="Candara" w:cs="Calibri"/>
          <w:lang w:val="es"/>
        </w:rPr>
        <w:t>Instituto Amazónico de Investigaciones Científicas</w:t>
      </w:r>
      <w:r>
        <w:rPr>
          <w:rFonts w:eastAsia="Candara" w:cs="Calibri"/>
          <w:lang w:val="es-CO"/>
        </w:rPr>
        <w:t xml:space="preserve"> (</w:t>
      </w:r>
      <w:r>
        <w:rPr>
          <w:rFonts w:eastAsia="Candara" w:cs="Calibri"/>
          <w:lang w:val="es"/>
        </w:rPr>
        <w:t>2024</w:t>
      </w:r>
      <w:r>
        <w:rPr>
          <w:rFonts w:eastAsia="Candara" w:cs="Calibri"/>
          <w:lang w:val="es-CO"/>
        </w:rPr>
        <w:t>)</w:t>
      </w:r>
      <w:r>
        <w:rPr>
          <w:rFonts w:eastAsia="Candara" w:cs="Calibri"/>
          <w:lang w:val="es"/>
        </w:rPr>
        <w:t xml:space="preserve">. Minería en los ríos San Pedro y San Francisco, alto Putumayo. Bogotá. En: </w:t>
      </w:r>
      <w:hyperlink r:id="rId37">
        <w:r w:rsidR="00527B8C">
          <w:rPr>
            <w:rStyle w:val="Hipervnculo"/>
            <w:rFonts w:eastAsia="Candara" w:cs="Calibri"/>
            <w:color w:val="0563C1"/>
            <w:lang w:val="es"/>
          </w:rPr>
          <w:t>https://siatac.co/Documentos/Atlas/conflictos/SINCHI029_V1_2024.pdf</w:t>
        </w:r>
      </w:hyperlink>
    </w:p>
  </w:footnote>
  <w:footnote w:id="54">
    <w:p w:rsidR="00182044" w:rsidP="00182044" w:rsidRDefault="00212A57" w14:paraId="43F11359" w14:textId="77777777">
      <w:pPr>
        <w:pStyle w:val="Textonotapie"/>
        <w:ind w:left="252" w:hanging="252" w:hangingChars="126"/>
        <w:jc w:val="both"/>
        <w:rPr>
          <w:rFonts w:cs="Calibri"/>
          <w:lang w:val="es"/>
        </w:rPr>
      </w:pPr>
      <w:r>
        <w:rPr>
          <w:rStyle w:val="Refdenotaalpie"/>
          <w:rFonts w:cs="Calibri"/>
        </w:rPr>
        <w:footnoteRef/>
      </w:r>
      <w:r>
        <w:rPr>
          <w:rFonts w:cs="Calibri"/>
        </w:rPr>
        <w:t xml:space="preserve"> </w:t>
      </w:r>
      <w:r>
        <w:rPr>
          <w:rFonts w:cs="Calibri"/>
          <w:lang w:val="es"/>
        </w:rPr>
        <w:t>Instituto Amazónico de Investigaciones Científicas</w:t>
      </w:r>
      <w:r>
        <w:rPr>
          <w:rFonts w:cs="Calibri"/>
          <w:lang w:val="es-CO"/>
        </w:rPr>
        <w:t xml:space="preserve"> (</w:t>
      </w:r>
      <w:r>
        <w:rPr>
          <w:rFonts w:cs="Calibri"/>
          <w:lang w:val="es"/>
        </w:rPr>
        <w:t>2024</w:t>
      </w:r>
      <w:r>
        <w:rPr>
          <w:rFonts w:cs="Calibri"/>
          <w:lang w:val="es-CO"/>
        </w:rPr>
        <w:t>)</w:t>
      </w:r>
      <w:r>
        <w:rPr>
          <w:rFonts w:cs="Calibri"/>
          <w:lang w:val="es"/>
        </w:rPr>
        <w:t xml:space="preserve">. Minería de grava en los resguardos del Refugio, La Fuga y Barrancón en Guaviare. Bogotá. </w:t>
      </w:r>
      <w:r>
        <w:rPr>
          <w:rFonts w:cs="Calibri"/>
          <w:lang w:val="es-CO"/>
        </w:rPr>
        <w:t>Recuperado de</w:t>
      </w:r>
      <w:r>
        <w:rPr>
          <w:rFonts w:cs="Calibri"/>
          <w:lang w:val="es"/>
        </w:rPr>
        <w:t xml:space="preserve">: </w:t>
      </w:r>
    </w:p>
    <w:p w:rsidRPr="00182044" w:rsidR="00527B8C" w:rsidP="00182044" w:rsidRDefault="00182044" w14:paraId="7D84E3CE" w14:textId="6FC1E7C1">
      <w:pPr>
        <w:pStyle w:val="Textonotapie"/>
        <w:ind w:left="252"/>
        <w:jc w:val="both"/>
        <w:rPr>
          <w:rFonts w:cs="Calibri"/>
          <w:lang w:val="es"/>
        </w:rPr>
      </w:pPr>
      <w:hyperlink w:history="1" r:id="rId38">
        <w:r w:rsidRPr="006C6571">
          <w:rPr>
            <w:rStyle w:val="Hipervnculo"/>
            <w:rFonts w:cs="Calibri"/>
            <w:lang w:val="es"/>
          </w:rPr>
          <w:t>https://siatac.co/Documentos/Atlas/conflictos/SINCHI010_V2_2023.pdf</w:t>
        </w:r>
      </w:hyperlink>
    </w:p>
  </w:footnote>
  <w:footnote w:id="55">
    <w:p w:rsidRPr="00182044" w:rsidR="00527B8C" w:rsidP="00182044" w:rsidRDefault="00212A57" w14:paraId="01C95D9C" w14:textId="7CE4BA17">
      <w:pPr>
        <w:pStyle w:val="Textonotapie"/>
        <w:ind w:left="252" w:hanging="252" w:hangingChars="126"/>
        <w:jc w:val="both"/>
        <w:rPr>
          <w:rFonts w:cs="Calibri"/>
          <w:lang w:val="es"/>
        </w:rPr>
      </w:pPr>
      <w:r>
        <w:rPr>
          <w:rStyle w:val="Refdenotaalpie"/>
          <w:rFonts w:cs="Calibri"/>
        </w:rPr>
        <w:footnoteRef/>
      </w:r>
      <w:r>
        <w:rPr>
          <w:rFonts w:cs="Calibri"/>
        </w:rPr>
        <w:t xml:space="preserve"> </w:t>
      </w:r>
      <w:r>
        <w:rPr>
          <w:rFonts w:cs="Calibri"/>
          <w:lang w:val="es"/>
        </w:rPr>
        <w:t>Instituto Amazónico de Investigaciones Científicas</w:t>
      </w:r>
      <w:r>
        <w:rPr>
          <w:rFonts w:cs="Calibri"/>
          <w:lang w:val="es-CO"/>
        </w:rPr>
        <w:t xml:space="preserve"> (</w:t>
      </w:r>
      <w:r>
        <w:rPr>
          <w:rFonts w:cs="Calibri"/>
          <w:lang w:val="es"/>
        </w:rPr>
        <w:t>2024</w:t>
      </w:r>
      <w:r>
        <w:rPr>
          <w:rFonts w:cs="Calibri"/>
          <w:lang w:val="es-CO"/>
        </w:rPr>
        <w:t>)</w:t>
      </w:r>
      <w:r>
        <w:rPr>
          <w:rFonts w:cs="Calibri"/>
          <w:lang w:val="es"/>
        </w:rPr>
        <w:t xml:space="preserve">. Minería en los ríos San Pedro y San Francisco, alto Putumayo. Bogotá. </w:t>
      </w:r>
      <w:r>
        <w:rPr>
          <w:rFonts w:cs="Calibri"/>
          <w:lang w:val="es-CO"/>
        </w:rPr>
        <w:t>Recuperado de</w:t>
      </w:r>
      <w:r>
        <w:rPr>
          <w:rFonts w:cs="Calibri"/>
          <w:lang w:val="es"/>
        </w:rPr>
        <w:t xml:space="preserve">: </w:t>
      </w:r>
      <w:hyperlink r:id="rId39">
        <w:r w:rsidR="00527B8C">
          <w:rPr>
            <w:rStyle w:val="Hipervnculo"/>
            <w:rFonts w:cs="Calibri"/>
            <w:color w:val="0563C1"/>
            <w:lang w:val="es"/>
          </w:rPr>
          <w:t>https://siatac.co/Documentos/Atlas/conflictos/SINCHI029_V1_2024.pdf</w:t>
        </w:r>
      </w:hyperlink>
    </w:p>
  </w:footnote>
  <w:footnote w:id="56">
    <w:p w:rsidR="00182044" w:rsidP="00182044" w:rsidRDefault="00212A57" w14:paraId="13A4F710" w14:textId="77777777">
      <w:pPr>
        <w:pStyle w:val="Textonotapie"/>
        <w:ind w:left="252" w:hanging="252" w:hangingChars="126"/>
        <w:jc w:val="both"/>
        <w:rPr>
          <w:rFonts w:cs="Calibri"/>
          <w:lang w:val="es"/>
        </w:rPr>
      </w:pPr>
      <w:r>
        <w:rPr>
          <w:rStyle w:val="Refdenotaalpie"/>
          <w:rFonts w:cs="Calibri"/>
        </w:rPr>
        <w:footnoteRef/>
      </w:r>
      <w:r>
        <w:rPr>
          <w:rFonts w:cs="Calibri"/>
        </w:rPr>
        <w:t xml:space="preserve">  </w:t>
      </w:r>
      <w:r>
        <w:rPr>
          <w:rFonts w:cs="Calibri"/>
          <w:lang w:val="es"/>
        </w:rPr>
        <w:t>Instituto Amazónico de Investigaciones Científicas</w:t>
      </w:r>
      <w:r>
        <w:rPr>
          <w:rFonts w:cs="Calibri"/>
          <w:lang w:val="es-CO"/>
        </w:rPr>
        <w:t xml:space="preserve"> (</w:t>
      </w:r>
      <w:r>
        <w:rPr>
          <w:rFonts w:cs="Calibri"/>
          <w:lang w:val="es"/>
        </w:rPr>
        <w:t>2024</w:t>
      </w:r>
      <w:r>
        <w:rPr>
          <w:rFonts w:cs="Calibri"/>
          <w:lang w:val="es-CO"/>
        </w:rPr>
        <w:t>)</w:t>
      </w:r>
      <w:r>
        <w:rPr>
          <w:rFonts w:cs="Calibri"/>
          <w:lang w:val="es"/>
        </w:rPr>
        <w:t xml:space="preserve">. Minería de grava en los resguardos del Refugio, La Fuga y Barrancón en Guaviare. Bogotá. </w:t>
      </w:r>
      <w:r>
        <w:rPr>
          <w:rFonts w:cs="Calibri"/>
          <w:lang w:val="es-CO"/>
        </w:rPr>
        <w:t>Recuperado de</w:t>
      </w:r>
      <w:r>
        <w:rPr>
          <w:rFonts w:cs="Calibri"/>
          <w:lang w:val="es"/>
        </w:rPr>
        <w:t>:</w:t>
      </w:r>
    </w:p>
    <w:p w:rsidRPr="00182044" w:rsidR="00527B8C" w:rsidP="00182044" w:rsidRDefault="00212A57" w14:paraId="45D78D41" w14:textId="3AA6D2F1">
      <w:pPr>
        <w:pStyle w:val="Textonotapie"/>
        <w:ind w:left="252"/>
        <w:jc w:val="both"/>
        <w:rPr>
          <w:rFonts w:cs="Calibri"/>
          <w:lang w:val="es"/>
        </w:rPr>
      </w:pPr>
      <w:r>
        <w:rPr>
          <w:rFonts w:cs="Calibri"/>
          <w:lang w:val="es"/>
        </w:rPr>
        <w:t xml:space="preserve"> </w:t>
      </w:r>
      <w:hyperlink r:id="rId40">
        <w:r w:rsidR="00527B8C">
          <w:rPr>
            <w:rStyle w:val="Hipervnculo"/>
            <w:rFonts w:cs="Calibri"/>
            <w:color w:val="0563C1"/>
            <w:lang w:val="es"/>
          </w:rPr>
          <w:t>https://siatac.co/Documentos/Atlas/conflictos/SINCHI010_V2_2023.pdf</w:t>
        </w:r>
      </w:hyperlink>
    </w:p>
  </w:footnote>
  <w:footnote w:id="57">
    <w:p w:rsidRPr="00182044" w:rsidR="00527B8C" w:rsidP="00182044" w:rsidRDefault="00212A57" w14:paraId="7A69D46B" w14:textId="2CF72EE2">
      <w:pPr>
        <w:pStyle w:val="Textonotapie"/>
        <w:ind w:left="252" w:hanging="252" w:hangingChars="126"/>
        <w:jc w:val="both"/>
        <w:rPr>
          <w:rFonts w:cs="Calibri"/>
          <w:lang w:val="es"/>
        </w:rPr>
      </w:pPr>
      <w:r>
        <w:rPr>
          <w:rStyle w:val="Refdenotaalpie"/>
          <w:rFonts w:cs="Calibri"/>
        </w:rPr>
        <w:footnoteRef/>
      </w:r>
      <w:r>
        <w:rPr>
          <w:rFonts w:cs="Calibri"/>
        </w:rPr>
        <w:t xml:space="preserve"> </w:t>
      </w:r>
      <w:r>
        <w:rPr>
          <w:rFonts w:cs="Calibri"/>
          <w:lang w:val="es"/>
        </w:rPr>
        <w:t>Instituto Amazónico de Investigaciones Científicas</w:t>
      </w:r>
      <w:r>
        <w:rPr>
          <w:rFonts w:cs="Calibri"/>
          <w:lang w:val="es-CO"/>
        </w:rPr>
        <w:t xml:space="preserve"> (</w:t>
      </w:r>
      <w:r>
        <w:rPr>
          <w:rFonts w:cs="Calibri"/>
          <w:lang w:val="es"/>
        </w:rPr>
        <w:t>2024</w:t>
      </w:r>
      <w:r>
        <w:rPr>
          <w:rFonts w:cs="Calibri"/>
          <w:lang w:val="es-CO"/>
        </w:rPr>
        <w:t>)</w:t>
      </w:r>
      <w:r>
        <w:rPr>
          <w:rFonts w:cs="Calibri"/>
          <w:lang w:val="es"/>
        </w:rPr>
        <w:t xml:space="preserve">. Minería en los ríos San Pedro y San Francisco, alto Putumayo. Bogotá. </w:t>
      </w:r>
      <w:r>
        <w:rPr>
          <w:rFonts w:cs="Calibri"/>
          <w:lang w:val="es-CO"/>
        </w:rPr>
        <w:t>Recuperado de</w:t>
      </w:r>
      <w:r>
        <w:rPr>
          <w:rFonts w:cs="Calibri"/>
          <w:lang w:val="es"/>
        </w:rPr>
        <w:t xml:space="preserve">: </w:t>
      </w:r>
      <w:hyperlink r:id="rId41">
        <w:r w:rsidR="00527B8C">
          <w:rPr>
            <w:rStyle w:val="Hipervnculo"/>
            <w:rFonts w:cs="Calibri"/>
            <w:color w:val="0563C1"/>
            <w:lang w:val="es"/>
          </w:rPr>
          <w:t>https://siatac.co/Documentos/Atlas/conflictos/SINCHI029_V1_2024.pdf</w:t>
        </w:r>
      </w:hyperlink>
    </w:p>
  </w:footnote>
  <w:footnote w:id="58">
    <w:p w:rsidR="00182044" w:rsidRDefault="00212A57" w14:paraId="06E98D66" w14:textId="77777777">
      <w:pPr>
        <w:pStyle w:val="Textonotapie"/>
        <w:ind w:left="252" w:hanging="252" w:hangingChars="126"/>
        <w:jc w:val="both"/>
        <w:rPr>
          <w:rFonts w:cs="Calibri"/>
          <w:lang w:val="es"/>
        </w:rPr>
      </w:pPr>
      <w:r>
        <w:rPr>
          <w:rStyle w:val="Refdenotaalpie"/>
          <w:rFonts w:cs="Calibri"/>
        </w:rPr>
        <w:footnoteRef/>
      </w:r>
      <w:r>
        <w:rPr>
          <w:rFonts w:cs="Calibri"/>
        </w:rPr>
        <w:t xml:space="preserve"> </w:t>
      </w:r>
      <w:r>
        <w:rPr>
          <w:rFonts w:cs="Calibri"/>
          <w:lang w:val="es"/>
        </w:rPr>
        <w:t>Instituto Amazónico de Investigaciones Científicas</w:t>
      </w:r>
      <w:r>
        <w:rPr>
          <w:rFonts w:cs="Calibri"/>
          <w:lang w:val="es-CO"/>
        </w:rPr>
        <w:t xml:space="preserve"> (</w:t>
      </w:r>
      <w:r>
        <w:rPr>
          <w:rFonts w:cs="Calibri"/>
          <w:lang w:val="es"/>
        </w:rPr>
        <w:t>2024</w:t>
      </w:r>
      <w:r>
        <w:rPr>
          <w:rFonts w:cs="Calibri"/>
          <w:lang w:val="es-CO"/>
        </w:rPr>
        <w:t>)</w:t>
      </w:r>
      <w:r>
        <w:rPr>
          <w:rFonts w:cs="Calibri"/>
          <w:lang w:val="es"/>
        </w:rPr>
        <w:t xml:space="preserve">. Minería de grava en los resguardos del Refugio, La Fuga y Barrancón en Guaviare. Bogotá. </w:t>
      </w:r>
      <w:r>
        <w:rPr>
          <w:rFonts w:cs="Calibri"/>
          <w:lang w:val="es-CO"/>
        </w:rPr>
        <w:t>Recuperado de</w:t>
      </w:r>
      <w:r>
        <w:rPr>
          <w:rFonts w:cs="Calibri"/>
          <w:lang w:val="es"/>
        </w:rPr>
        <w:t xml:space="preserve">: </w:t>
      </w:r>
    </w:p>
    <w:p w:rsidR="00527B8C" w:rsidP="00182044" w:rsidRDefault="00182044" w14:paraId="2FBE15F1" w14:textId="097EB0F6">
      <w:pPr>
        <w:pStyle w:val="Textonotapie"/>
        <w:ind w:left="252"/>
        <w:jc w:val="both"/>
        <w:rPr>
          <w:rFonts w:cs="Calibri"/>
        </w:rPr>
      </w:pPr>
      <w:hyperlink w:history="1" r:id="rId42">
        <w:r w:rsidRPr="006C6571">
          <w:rPr>
            <w:rStyle w:val="Hipervnculo"/>
            <w:rFonts w:cs="Calibri"/>
            <w:lang w:val="es"/>
          </w:rPr>
          <w:t>https://siatac.co/Documentos/Atlas/conflictos/SINCHI010_V2_2023.pdf</w:t>
        </w:r>
      </w:hyperlink>
    </w:p>
  </w:footnote>
  <w:footnote w:id="59">
    <w:p w:rsidRPr="008052E7" w:rsidR="00527B8C" w:rsidP="008052E7" w:rsidRDefault="00212A57" w14:paraId="3C0FF45B" w14:textId="2D54A483">
      <w:pPr>
        <w:pStyle w:val="Textonotapie"/>
        <w:ind w:left="252" w:hanging="252" w:hangingChars="126"/>
        <w:jc w:val="both"/>
        <w:rPr>
          <w:rFonts w:cs="Calibri"/>
          <w:lang w:val="es"/>
        </w:rPr>
      </w:pPr>
      <w:r>
        <w:rPr>
          <w:rStyle w:val="Refdenotaalpie"/>
          <w:rFonts w:cs="Calibri"/>
        </w:rPr>
        <w:footnoteRef/>
      </w:r>
      <w:r>
        <w:rPr>
          <w:rFonts w:cs="Calibri"/>
        </w:rPr>
        <w:t xml:space="preserve"> </w:t>
      </w:r>
      <w:r>
        <w:rPr>
          <w:rFonts w:cs="Calibri"/>
          <w:lang w:val="es"/>
        </w:rPr>
        <w:t>Instituto Amazónico de Investigaciones Científicas</w:t>
      </w:r>
      <w:r>
        <w:rPr>
          <w:rFonts w:cs="Calibri"/>
          <w:lang w:val="es-CO"/>
        </w:rPr>
        <w:t xml:space="preserve"> (</w:t>
      </w:r>
      <w:r>
        <w:rPr>
          <w:rFonts w:cs="Calibri"/>
          <w:lang w:val="es"/>
        </w:rPr>
        <w:t>2024</w:t>
      </w:r>
      <w:r>
        <w:rPr>
          <w:rFonts w:cs="Calibri"/>
          <w:lang w:val="es-CO"/>
        </w:rPr>
        <w:t>)</w:t>
      </w:r>
      <w:r>
        <w:rPr>
          <w:rFonts w:cs="Calibri"/>
          <w:lang w:val="es"/>
        </w:rPr>
        <w:t xml:space="preserve">. Minería en los ríos San Pedro y San Francisco, alto Putumayo. Bogotá. </w:t>
      </w:r>
      <w:r>
        <w:rPr>
          <w:rFonts w:cs="Calibri"/>
          <w:lang w:val="es-CO"/>
        </w:rPr>
        <w:t>Recuperado de</w:t>
      </w:r>
      <w:r>
        <w:rPr>
          <w:rFonts w:cs="Calibri"/>
          <w:lang w:val="es"/>
        </w:rPr>
        <w:t xml:space="preserve">: </w:t>
      </w:r>
      <w:hyperlink r:id="rId43">
        <w:r w:rsidR="00527B8C">
          <w:rPr>
            <w:rStyle w:val="Hipervnculo"/>
            <w:rFonts w:cs="Calibri"/>
            <w:color w:val="0563C1"/>
            <w:lang w:val="es"/>
          </w:rPr>
          <w:t>https://siatac.co/Documentos/Atlas/conflictos/SINCHI029_V1_2024.pdf</w:t>
        </w:r>
      </w:hyperlink>
    </w:p>
  </w:footnote>
  <w:footnote w:id="60">
    <w:p w:rsidR="008052E7" w:rsidP="008052E7" w:rsidRDefault="00212A57" w14:paraId="0822AAD2" w14:textId="77777777">
      <w:pPr>
        <w:pStyle w:val="Textonotapie"/>
        <w:ind w:left="252" w:hanging="252" w:hangingChars="126"/>
        <w:jc w:val="both"/>
        <w:rPr>
          <w:rFonts w:cs="Calibri"/>
          <w:lang w:val="es"/>
        </w:rPr>
      </w:pPr>
      <w:r>
        <w:rPr>
          <w:rStyle w:val="Refdenotaalpie"/>
          <w:rFonts w:cs="Calibri"/>
        </w:rPr>
        <w:footnoteRef/>
      </w:r>
      <w:r>
        <w:rPr>
          <w:rFonts w:cs="Calibri"/>
        </w:rPr>
        <w:t xml:space="preserve">  </w:t>
      </w:r>
      <w:r>
        <w:rPr>
          <w:rFonts w:cs="Calibri"/>
          <w:lang w:val="es"/>
        </w:rPr>
        <w:t>Instituto Amazónico de Investigaciones Científicas</w:t>
      </w:r>
      <w:r>
        <w:rPr>
          <w:rFonts w:cs="Calibri"/>
          <w:lang w:val="es-CO"/>
        </w:rPr>
        <w:t xml:space="preserve"> (</w:t>
      </w:r>
      <w:r>
        <w:rPr>
          <w:rFonts w:cs="Calibri"/>
          <w:lang w:val="es"/>
        </w:rPr>
        <w:t>2024</w:t>
      </w:r>
      <w:r>
        <w:rPr>
          <w:rFonts w:cs="Calibri"/>
          <w:lang w:val="es-CO"/>
        </w:rPr>
        <w:t>)</w:t>
      </w:r>
      <w:r>
        <w:rPr>
          <w:rFonts w:cs="Calibri"/>
          <w:lang w:val="es"/>
        </w:rPr>
        <w:t xml:space="preserve">. Minería de grava en los resguardos del Refugio, La Fuga y Barrancón en Guaviare. Bogotá. </w:t>
      </w:r>
      <w:r>
        <w:rPr>
          <w:rFonts w:cs="Calibri"/>
          <w:lang w:val="es-CO"/>
        </w:rPr>
        <w:t>Recuperado de</w:t>
      </w:r>
      <w:r>
        <w:rPr>
          <w:rFonts w:cs="Calibri"/>
          <w:lang w:val="es"/>
        </w:rPr>
        <w:t xml:space="preserve">: </w:t>
      </w:r>
    </w:p>
    <w:p w:rsidRPr="008052E7" w:rsidR="00527B8C" w:rsidP="008052E7" w:rsidRDefault="008052E7" w14:paraId="5D5F8F0B" w14:textId="1CF2D9D6">
      <w:pPr>
        <w:pStyle w:val="Textonotapie"/>
        <w:ind w:left="252"/>
        <w:jc w:val="both"/>
        <w:rPr>
          <w:rFonts w:cs="Calibri"/>
          <w:lang w:val="es"/>
        </w:rPr>
      </w:pPr>
      <w:hyperlink w:history="1" r:id="rId44">
        <w:r w:rsidRPr="006C6571">
          <w:rPr>
            <w:rStyle w:val="Hipervnculo"/>
            <w:rFonts w:cs="Calibri"/>
            <w:lang w:val="es"/>
          </w:rPr>
          <w:t>https://siatac.co/Documentos/Atlas/conflictos/SINCHI010_V2_2023.pdf</w:t>
        </w:r>
      </w:hyperlink>
    </w:p>
  </w:footnote>
  <w:footnote w:id="61">
    <w:p w:rsidRPr="008052E7" w:rsidR="00527B8C" w:rsidP="008052E7" w:rsidRDefault="00212A57" w14:paraId="289F76F8" w14:textId="5B27706B">
      <w:pPr>
        <w:pStyle w:val="Textonotapie"/>
        <w:ind w:left="252" w:hanging="252" w:hangingChars="126"/>
        <w:jc w:val="both"/>
        <w:rPr>
          <w:rFonts w:cs="Calibri"/>
          <w:lang w:val="es"/>
        </w:rPr>
      </w:pPr>
      <w:r>
        <w:rPr>
          <w:rStyle w:val="Refdenotaalpie"/>
          <w:rFonts w:cs="Calibri"/>
        </w:rPr>
        <w:footnoteRef/>
      </w:r>
      <w:r>
        <w:rPr>
          <w:rFonts w:cs="Calibri"/>
        </w:rPr>
        <w:t xml:space="preserve"> </w:t>
      </w:r>
      <w:r>
        <w:rPr>
          <w:rFonts w:cs="Calibri"/>
          <w:lang w:val="es"/>
        </w:rPr>
        <w:t>Instituto Amazónico de Investigaciones Científicas</w:t>
      </w:r>
      <w:r>
        <w:rPr>
          <w:rFonts w:cs="Calibri"/>
          <w:lang w:val="es-CO"/>
        </w:rPr>
        <w:t xml:space="preserve"> (</w:t>
      </w:r>
      <w:r>
        <w:rPr>
          <w:rFonts w:cs="Calibri"/>
          <w:lang w:val="es"/>
        </w:rPr>
        <w:t>2024</w:t>
      </w:r>
      <w:r>
        <w:rPr>
          <w:rFonts w:cs="Calibri"/>
          <w:lang w:val="es-CO"/>
        </w:rPr>
        <w:t>)</w:t>
      </w:r>
      <w:r>
        <w:rPr>
          <w:rFonts w:cs="Calibri"/>
          <w:lang w:val="es"/>
        </w:rPr>
        <w:t xml:space="preserve">. Minería en los ríos San Pedro y San Francisco, alto Putumayo. Bogotá. </w:t>
      </w:r>
      <w:r>
        <w:rPr>
          <w:rFonts w:cs="Calibri"/>
          <w:lang w:val="es-CO"/>
        </w:rPr>
        <w:t>Recuperado de</w:t>
      </w:r>
      <w:r>
        <w:rPr>
          <w:rFonts w:cs="Calibri"/>
          <w:lang w:val="es"/>
        </w:rPr>
        <w:t xml:space="preserve">: </w:t>
      </w:r>
      <w:hyperlink r:id="rId45">
        <w:r w:rsidR="00527B8C">
          <w:rPr>
            <w:rStyle w:val="Hipervnculo"/>
            <w:rFonts w:cs="Calibri"/>
            <w:color w:val="0563C1"/>
            <w:lang w:val="es"/>
          </w:rPr>
          <w:t>https://siatac.co/Documentos/Atlas/conflictos/SINCHI029_V1_2024.pdf</w:t>
        </w:r>
      </w:hyperlink>
    </w:p>
  </w:footnote>
  <w:footnote w:id="62">
    <w:p w:rsidR="008052E7" w:rsidRDefault="00212A57" w14:paraId="7D15AA94" w14:textId="77777777">
      <w:pPr>
        <w:pStyle w:val="Textonotapie"/>
        <w:ind w:left="252" w:hanging="252" w:hangingChars="126"/>
        <w:jc w:val="both"/>
        <w:rPr>
          <w:rFonts w:cs="Calibri"/>
          <w:lang w:val="es"/>
        </w:rPr>
      </w:pPr>
      <w:r>
        <w:rPr>
          <w:rStyle w:val="Refdenotaalpie"/>
          <w:rFonts w:cs="Calibri"/>
        </w:rPr>
        <w:footnoteRef/>
      </w:r>
      <w:r>
        <w:rPr>
          <w:rFonts w:cs="Calibri"/>
        </w:rPr>
        <w:t xml:space="preserve">  </w:t>
      </w:r>
      <w:r>
        <w:rPr>
          <w:rFonts w:cs="Calibri"/>
          <w:lang w:val="es"/>
        </w:rPr>
        <w:t xml:space="preserve">Instituto Amazónico de Investigaciones Científicas. 2024. Minería de grava en los resguardos del Refugio, La Fuga y Barrancón en Guaviare. Bogotá. </w:t>
      </w:r>
      <w:r>
        <w:rPr>
          <w:rFonts w:cs="Calibri"/>
          <w:lang w:val="es-CO"/>
        </w:rPr>
        <w:t>Recuperado de</w:t>
      </w:r>
      <w:r>
        <w:rPr>
          <w:rFonts w:cs="Calibri"/>
          <w:lang w:val="es"/>
        </w:rPr>
        <w:t xml:space="preserve">: </w:t>
      </w:r>
    </w:p>
    <w:p w:rsidR="00527B8C" w:rsidP="008052E7" w:rsidRDefault="008052E7" w14:paraId="10C38F26" w14:textId="37B76DD4">
      <w:pPr>
        <w:pStyle w:val="Textonotapie"/>
        <w:ind w:left="252"/>
        <w:jc w:val="both"/>
        <w:rPr>
          <w:rFonts w:cs="Calibri"/>
        </w:rPr>
      </w:pPr>
      <w:hyperlink w:history="1" r:id="rId46">
        <w:r w:rsidRPr="006C6571">
          <w:rPr>
            <w:rStyle w:val="Hipervnculo"/>
            <w:rFonts w:cs="Calibri"/>
            <w:lang w:val="es"/>
          </w:rPr>
          <w:t>https://siatac.co/Documentos/Atlas/conflictos/SINCHI010_V2_2023.pdf</w:t>
        </w:r>
      </w:hyperlink>
    </w:p>
  </w:footnote>
  <w:footnote w:id="63">
    <w:p w:rsidRPr="00554C29" w:rsidR="00527B8C" w:rsidP="00554C29" w:rsidRDefault="00212A57" w14:paraId="66CE74BB" w14:textId="044D9F7E">
      <w:pPr>
        <w:pStyle w:val="Textonotapie"/>
        <w:ind w:left="252" w:hanging="252" w:hangingChars="126"/>
        <w:jc w:val="both"/>
        <w:rPr>
          <w:rFonts w:cs="Calibri"/>
          <w:lang w:val="es"/>
        </w:rPr>
      </w:pPr>
      <w:r>
        <w:rPr>
          <w:rStyle w:val="Refdenotaalpie"/>
          <w:rFonts w:cs="Calibri"/>
        </w:rPr>
        <w:footnoteRef/>
      </w:r>
      <w:r>
        <w:rPr>
          <w:rFonts w:cs="Calibri"/>
        </w:rPr>
        <w:t xml:space="preserve"> </w:t>
      </w:r>
      <w:r>
        <w:rPr>
          <w:rFonts w:cs="Calibri"/>
          <w:lang w:val="es"/>
        </w:rPr>
        <w:t xml:space="preserve">Instituto Amazónico de Investigaciones Científicas. 2024. Minería en los ríos San Pedro y San Francisco, alto Putumayo. Bogotá. </w:t>
      </w:r>
      <w:r>
        <w:rPr>
          <w:rFonts w:cs="Calibri"/>
          <w:lang w:val="es-CO"/>
        </w:rPr>
        <w:t>Recuperado de</w:t>
      </w:r>
      <w:r>
        <w:rPr>
          <w:rFonts w:cs="Calibri"/>
          <w:lang w:val="es"/>
        </w:rPr>
        <w:t xml:space="preserve">: </w:t>
      </w:r>
      <w:hyperlink r:id="rId47">
        <w:r w:rsidR="00527B8C">
          <w:rPr>
            <w:rStyle w:val="Hipervnculo"/>
            <w:rFonts w:cs="Calibri"/>
            <w:color w:val="0563C1"/>
            <w:lang w:val="es"/>
          </w:rPr>
          <w:t>https://siatac.co/Documentos/Atlas/conflictos/SINCHI029_V1_2024.pdf</w:t>
        </w:r>
      </w:hyperlink>
    </w:p>
  </w:footnote>
  <w:footnote w:id="64">
    <w:p w:rsidR="00554C29" w:rsidP="00554C29" w:rsidRDefault="00212A57" w14:paraId="2183AD4A" w14:textId="77777777">
      <w:pPr>
        <w:pStyle w:val="Textonotapie"/>
        <w:ind w:left="252" w:hanging="252" w:hangingChars="126"/>
        <w:jc w:val="both"/>
        <w:rPr>
          <w:rFonts w:cs="Calibri"/>
          <w:lang w:val="es"/>
        </w:rPr>
      </w:pPr>
      <w:r>
        <w:rPr>
          <w:rStyle w:val="Refdenotaalpie"/>
          <w:rFonts w:cs="Calibri"/>
        </w:rPr>
        <w:footnoteRef/>
      </w:r>
      <w:r>
        <w:rPr>
          <w:rFonts w:cs="Calibri"/>
        </w:rPr>
        <w:t xml:space="preserve">  </w:t>
      </w:r>
      <w:r>
        <w:rPr>
          <w:rFonts w:cs="Calibri"/>
          <w:lang w:val="es"/>
        </w:rPr>
        <w:t>Instituto Amazónico de Investigaciones Científicas</w:t>
      </w:r>
      <w:r>
        <w:rPr>
          <w:rFonts w:cs="Calibri"/>
          <w:lang w:val="es-CO"/>
        </w:rPr>
        <w:t xml:space="preserve"> (</w:t>
      </w:r>
      <w:r>
        <w:rPr>
          <w:rFonts w:cs="Calibri"/>
          <w:lang w:val="es"/>
        </w:rPr>
        <w:t>2024</w:t>
      </w:r>
      <w:r>
        <w:rPr>
          <w:rFonts w:cs="Calibri"/>
          <w:lang w:val="es-CO"/>
        </w:rPr>
        <w:t>)</w:t>
      </w:r>
      <w:r>
        <w:rPr>
          <w:rFonts w:cs="Calibri"/>
          <w:lang w:val="es"/>
        </w:rPr>
        <w:t xml:space="preserve">. Minería de grava en los resguardos del Refugio, La Fuga y Barrancón en Guaviare. Bogotá. </w:t>
      </w:r>
      <w:r>
        <w:rPr>
          <w:rFonts w:cs="Calibri"/>
          <w:lang w:val="es-CO"/>
        </w:rPr>
        <w:t>Recuperado de</w:t>
      </w:r>
      <w:r>
        <w:rPr>
          <w:rFonts w:cs="Calibri"/>
          <w:lang w:val="es"/>
        </w:rPr>
        <w:t>:</w:t>
      </w:r>
    </w:p>
    <w:p w:rsidR="00527B8C" w:rsidP="00554C29" w:rsidRDefault="00212A57" w14:paraId="3E1C0396" w14:textId="73871D80">
      <w:pPr>
        <w:pStyle w:val="Textonotapie"/>
        <w:ind w:left="252"/>
        <w:jc w:val="both"/>
        <w:rPr>
          <w:rFonts w:cs="Calibri"/>
        </w:rPr>
      </w:pPr>
      <w:r>
        <w:rPr>
          <w:rFonts w:cs="Calibri"/>
          <w:lang w:val="es"/>
        </w:rPr>
        <w:t xml:space="preserve"> </w:t>
      </w:r>
      <w:hyperlink r:id="rId48">
        <w:r w:rsidR="00527B8C">
          <w:rPr>
            <w:rStyle w:val="Hipervnculo"/>
            <w:rFonts w:cs="Calibri"/>
            <w:color w:val="0563C1"/>
            <w:lang w:val="es"/>
          </w:rPr>
          <w:t>https://siatac.co/Documentos/Atlas/conflictos/SINCHI010_V2_2023.pdf</w:t>
        </w:r>
      </w:hyperlink>
    </w:p>
  </w:footnote>
  <w:footnote w:id="65">
    <w:p w:rsidR="00527B8C" w:rsidRDefault="00212A57" w14:paraId="53C275E5" w14:textId="77777777">
      <w:pPr>
        <w:pStyle w:val="Textonotapie"/>
        <w:ind w:left="252" w:hanging="252" w:hangingChars="126"/>
        <w:jc w:val="both"/>
        <w:rPr>
          <w:rFonts w:cs="Calibri"/>
        </w:rPr>
      </w:pPr>
      <w:r>
        <w:rPr>
          <w:rStyle w:val="Refdenotaalpie"/>
          <w:rFonts w:cs="Calibri"/>
        </w:rPr>
        <w:footnoteRef/>
      </w:r>
      <w:r>
        <w:rPr>
          <w:rFonts w:cs="Calibri"/>
        </w:rPr>
        <w:t xml:space="preserve"> Herrera, I</w:t>
      </w:r>
      <w:r>
        <w:rPr>
          <w:rFonts w:cs="Calibri"/>
          <w:lang w:val="es-CO"/>
        </w:rPr>
        <w:t xml:space="preserve"> (</w:t>
      </w:r>
      <w:r>
        <w:rPr>
          <w:rFonts w:cs="Calibri"/>
        </w:rPr>
        <w:t>2021</w:t>
      </w:r>
      <w:r>
        <w:rPr>
          <w:rFonts w:cs="Calibri"/>
          <w:lang w:val="es-CO"/>
        </w:rPr>
        <w:t>)</w:t>
      </w:r>
      <w:r>
        <w:rPr>
          <w:rFonts w:cs="Calibri"/>
        </w:rPr>
        <w:t xml:space="preserve">. Evaluación de los pasivos ambientales generados por explotación de material de arrastre en el municipio de Morroa departamento de Sucre. Universidad de Manizales. </w:t>
      </w:r>
      <w:r>
        <w:rPr>
          <w:rFonts w:cs="Calibri"/>
          <w:lang w:val="es-CO"/>
        </w:rPr>
        <w:t>Recuperado de</w:t>
      </w:r>
      <w:r>
        <w:rPr>
          <w:rFonts w:cs="Calibri"/>
        </w:rPr>
        <w:t xml:space="preserve">: </w:t>
      </w:r>
    </w:p>
    <w:p w:rsidR="00527B8C" w:rsidP="00554C29" w:rsidRDefault="00554C29" w14:paraId="6631BB50" w14:textId="39405D77">
      <w:pPr>
        <w:pStyle w:val="Textonotapie"/>
        <w:ind w:left="252"/>
        <w:jc w:val="both"/>
        <w:rPr>
          <w:rFonts w:cs="Calibri"/>
        </w:rPr>
      </w:pPr>
      <w:hyperlink w:history="1" r:id="rId49">
        <w:r w:rsidRPr="006C6571">
          <w:rPr>
            <w:rStyle w:val="Hipervnculo"/>
            <w:rFonts w:cs="Calibri"/>
          </w:rPr>
          <w:t>https://ridum.umanizales.edu.co/server/api/core/bitstreams/1d707fdb-351d-424f-940b-fe728b374a84/content</w:t>
        </w:r>
      </w:hyperlink>
      <w:r>
        <w:rPr>
          <w:rFonts w:cs="Calibri"/>
        </w:rPr>
        <w:t xml:space="preserve"> </w:t>
      </w:r>
    </w:p>
    <w:p w:rsidR="00527B8C" w:rsidRDefault="00527B8C" w14:paraId="1CEBE633" w14:textId="77777777">
      <w:pPr>
        <w:pStyle w:val="Textonotapie"/>
        <w:ind w:left="252" w:hanging="252" w:hangingChars="126"/>
        <w:rPr>
          <w:rFonts w:cs="Calibri"/>
        </w:rPr>
      </w:pPr>
    </w:p>
  </w:footnote>
  <w:footnote w:id="66">
    <w:p w:rsidR="00527B8C" w:rsidRDefault="00212A57" w14:paraId="20EAE8DA" w14:textId="77777777">
      <w:pPr>
        <w:pStyle w:val="Textonotapie"/>
        <w:ind w:left="252" w:hanging="252" w:hangingChars="126"/>
        <w:jc w:val="both"/>
        <w:rPr>
          <w:rFonts w:cs="Calibri"/>
        </w:rPr>
      </w:pPr>
      <w:r>
        <w:rPr>
          <w:rStyle w:val="Refdenotaalpie"/>
          <w:rFonts w:cs="Calibri"/>
        </w:rPr>
        <w:footnoteRef/>
      </w:r>
      <w:r>
        <w:rPr>
          <w:rFonts w:cs="Calibri"/>
        </w:rPr>
        <w:t xml:space="preserve"> Martínez, J. </w:t>
      </w:r>
      <w:r>
        <w:rPr>
          <w:rFonts w:cs="Calibri"/>
          <w:lang w:val="es-CO"/>
        </w:rPr>
        <w:t>(</w:t>
      </w:r>
      <w:r>
        <w:rPr>
          <w:rFonts w:cs="Calibri"/>
        </w:rPr>
        <w:t>2017</w:t>
      </w:r>
      <w:r>
        <w:rPr>
          <w:rFonts w:cs="Calibri"/>
          <w:lang w:val="es-CO"/>
        </w:rPr>
        <w:t>)</w:t>
      </w:r>
      <w:r>
        <w:rPr>
          <w:rFonts w:cs="Calibri"/>
        </w:rPr>
        <w:t xml:space="preserve">. Impactos Ambientales por Extracción de Materiales de Arrastre, Revisión Bibliográfica para el Análisis de los Impactos Ambientales Generados por la Extracción de Material de Arrastre en Cuerpos de Agua – Caso de Estudio: Rio Purnio. Universidad Católica de Manizales. </w:t>
      </w:r>
      <w:r>
        <w:rPr>
          <w:rFonts w:cs="Calibri"/>
          <w:lang w:val="es-CO"/>
        </w:rPr>
        <w:t>Recuperado de</w:t>
      </w:r>
      <w:r>
        <w:rPr>
          <w:rFonts w:cs="Calibri"/>
        </w:rPr>
        <w:t>:</w:t>
      </w:r>
    </w:p>
    <w:p w:rsidR="00527B8C" w:rsidP="00554C29" w:rsidRDefault="00212A57" w14:paraId="18449882" w14:textId="263DFA6F">
      <w:pPr>
        <w:pStyle w:val="Textonotapie"/>
        <w:ind w:left="252" w:hanging="252" w:hangingChars="126"/>
        <w:jc w:val="both"/>
        <w:rPr>
          <w:rFonts w:cs="Calibri"/>
        </w:rPr>
      </w:pPr>
      <w:r>
        <w:rPr>
          <w:rFonts w:cs="Calibri"/>
        </w:rPr>
        <w:t xml:space="preserve"> </w:t>
      </w:r>
      <w:hyperlink r:id="rId50">
        <w:r w:rsidR="00527B8C">
          <w:rPr>
            <w:rStyle w:val="Hipervnculo"/>
            <w:rFonts w:cs="Calibri"/>
            <w:color w:val="0563C1"/>
          </w:rPr>
          <w:t>https://repositorio.ucm.edu.co/server/api/core/bitstreams/fef68bf3-d482-4b22-998e-5f356496a68d/content</w:t>
        </w:r>
      </w:hyperlink>
    </w:p>
  </w:footnote>
  <w:footnote w:id="67">
    <w:p w:rsidR="00527B8C" w:rsidRDefault="00212A57" w14:paraId="1A9B6967" w14:textId="77777777">
      <w:pPr>
        <w:pStyle w:val="Textonotapie"/>
        <w:ind w:left="252" w:hanging="252" w:hangingChars="126"/>
        <w:rPr>
          <w:rFonts w:cs="Calibri"/>
          <w:lang w:val="es-CO"/>
        </w:rPr>
      </w:pPr>
      <w:r>
        <w:rPr>
          <w:rStyle w:val="Refdenotaalpie"/>
          <w:rFonts w:cs="Calibri"/>
        </w:rPr>
        <w:footnoteRef/>
      </w:r>
      <w:r>
        <w:rPr>
          <w:rFonts w:cs="Calibri"/>
          <w:lang w:val="es-CO"/>
        </w:rPr>
        <w:t xml:space="preserve"> RAISG. </w:t>
      </w:r>
      <w:r>
        <w:rPr>
          <w:rFonts w:cs="Calibri"/>
          <w:i/>
          <w:iCs/>
          <w:lang w:val="es-CO"/>
        </w:rPr>
        <w:t>Actividades extractivas: Minería</w:t>
      </w:r>
      <w:r>
        <w:rPr>
          <w:rFonts w:cs="Calibri"/>
          <w:lang w:val="es-CO"/>
        </w:rPr>
        <w:t xml:space="preserve"> (2020). Recuperado de: https://atlas2020.amazoniasocioambiental.org/posts/actividades-extractivas-mineria</w:t>
      </w:r>
    </w:p>
  </w:footnote>
  <w:footnote w:id="68">
    <w:p w:rsidR="00527B8C" w:rsidRDefault="00212A57" w14:paraId="57275468" w14:textId="77777777">
      <w:pPr>
        <w:pStyle w:val="Textonotapie"/>
        <w:ind w:left="252" w:hanging="252" w:hangingChars="126"/>
        <w:jc w:val="both"/>
        <w:rPr>
          <w:rFonts w:cs="Calibri"/>
          <w:lang w:val="es-CO"/>
        </w:rPr>
      </w:pPr>
      <w:r>
        <w:rPr>
          <w:rStyle w:val="Refdenotaalpie"/>
          <w:rFonts w:cs="Calibri"/>
        </w:rPr>
        <w:footnoteRef/>
      </w:r>
      <w:r>
        <w:rPr>
          <w:rFonts w:cs="Calibri"/>
          <w:lang w:val="es-CO"/>
        </w:rPr>
        <w:t xml:space="preserve"> Fundación para la Conservación y el Desarrollo Sostenible (FCDS). </w:t>
      </w:r>
      <w:r>
        <w:rPr>
          <w:rFonts w:cs="Calibri"/>
          <w:i/>
          <w:iCs/>
          <w:lang w:val="es-CO"/>
        </w:rPr>
        <w:t>Observatorio Amazónico</w:t>
      </w:r>
      <w:r>
        <w:rPr>
          <w:rFonts w:cs="Calibri"/>
          <w:lang w:val="es-CO"/>
        </w:rPr>
        <w:t xml:space="preserve"> (s.f.). Recuperado de https://observatorioamazonia.fcds.org.co/</w:t>
      </w:r>
    </w:p>
  </w:footnote>
  <w:footnote w:id="69">
    <w:p w:rsidR="00527B8C" w:rsidRDefault="00212A57" w14:paraId="1ADDF845" w14:textId="77777777">
      <w:pPr>
        <w:pStyle w:val="Textonotapie"/>
        <w:ind w:left="252" w:hanging="252" w:hangingChars="126"/>
        <w:rPr>
          <w:rStyle w:val="Hipervnculo"/>
          <w:rFonts w:ascii="Candara" w:hAnsi="Candara" w:eastAsia="Candara" w:cs="Candara"/>
          <w:color w:val="0563C1"/>
          <w:sz w:val="22"/>
          <w:szCs w:val="22"/>
        </w:rPr>
      </w:pPr>
      <w:r>
        <w:rPr>
          <w:rStyle w:val="Refdenotaalpie"/>
          <w:rFonts w:cs="Calibri"/>
        </w:rPr>
        <w:footnoteRef/>
      </w:r>
      <w:r>
        <w:rPr>
          <w:rFonts w:cs="Calibri"/>
        </w:rPr>
        <w:t xml:space="preserve"> Nieves-Solarte, F. A., y Ruiz-Fajardo, J. E. (2021). Procesos de deforestación asociados a la minería legal en la Amazonía colombiana. </w:t>
      </w:r>
      <w:r>
        <w:rPr>
          <w:rFonts w:cs="Calibri"/>
          <w:i/>
          <w:iCs/>
        </w:rPr>
        <w:t>Revista Ontare</w:t>
      </w:r>
      <w:r>
        <w:rPr>
          <w:rFonts w:cs="Calibri"/>
        </w:rPr>
        <w:t xml:space="preserve">, </w:t>
      </w:r>
      <w:r>
        <w:rPr>
          <w:rFonts w:cs="Calibri"/>
          <w:i/>
          <w:iCs/>
        </w:rPr>
        <w:t>9</w:t>
      </w:r>
      <w:r>
        <w:rPr>
          <w:rFonts w:cs="Calibri"/>
        </w:rPr>
        <w:t xml:space="preserve">. </w:t>
      </w:r>
      <w:hyperlink r:id="rId51">
        <w:r w:rsidR="00527B8C">
          <w:rPr>
            <w:rStyle w:val="Hipervnculo"/>
            <w:rFonts w:cs="Calibri"/>
            <w:color w:val="0563C1"/>
          </w:rPr>
          <w:t>https://doi.org/10.21158/23823399.v9.n0.2021.2943</w:t>
        </w:r>
      </w:hyperlink>
    </w:p>
  </w:footnote>
  <w:footnote w:id="28614">
    <w:p w:rsidR="53DEF7DD" w:rsidP="53DEF7DD" w:rsidRDefault="53DEF7DD" w14:paraId="4EA49ACC" w14:textId="6AA16683">
      <w:pPr>
        <w:pStyle w:val="Textonotapie"/>
        <w:bidi w:val="0"/>
      </w:pPr>
      <w:r w:rsidRPr="53DEF7DD">
        <w:rPr>
          <w:rStyle w:val="Refdenotaalpie"/>
        </w:rPr>
        <w:footnoteRef/>
      </w:r>
      <w:r w:rsidR="53DEF7DD">
        <w:rPr/>
        <w:t xml:space="preserve"> Perdomo Perafán, A., &amp; Álvarez Guayara, D. L. (2022). Valoración ambiental del transecto del Río Hacha en la comuna norte de la ciudad de Florencia Caquetá. Revista Environment &amp; Technology, 2(2), 35-54. https://doi.org/10.56205/ret.2-2.3</w:t>
      </w:r>
    </w:p>
  </w:footnote>
  <w:footnote w:id="3148">
    <w:p w:rsidR="53DEF7DD" w:rsidP="53DEF7DD" w:rsidRDefault="53DEF7DD" w14:paraId="443A0937" w14:textId="576D42C7">
      <w:pPr>
        <w:pStyle w:val="Textonotapie"/>
        <w:bidi w:val="0"/>
      </w:pPr>
      <w:r w:rsidRPr="53DEF7DD">
        <w:rPr>
          <w:rStyle w:val="Refdenotaalpie"/>
        </w:rPr>
        <w:footnoteRef/>
      </w:r>
      <w:r w:rsidR="53DEF7DD">
        <w:rPr/>
        <w:t xml:space="preserve"> ASONOP, Corpoamazonia y Servicios Integrales Ambientales FYS. 2019. Plan De Ordenamiento Del Recurso Hídrico PORH del río Orito, departamento del Putumayo. Fase 2: Diagnostico. En: https://www.corpoamazonia.gov.co/files/consultas/2019/10_diagnostico.pdf</w:t>
      </w:r>
    </w:p>
  </w:footnote>
  <w:footnote w:id="14382">
    <w:p w:rsidR="53DEF7DD" w:rsidP="53DEF7DD" w:rsidRDefault="53DEF7DD" w14:paraId="3467BBDC" w14:textId="24FD67E1">
      <w:pPr>
        <w:pStyle w:val="Textonotapie"/>
        <w:bidi w:val="0"/>
      </w:pPr>
      <w:r w:rsidRPr="53DEF7DD">
        <w:rPr>
          <w:rStyle w:val="Refdenotaalpie"/>
        </w:rPr>
        <w:footnoteRef/>
      </w:r>
      <w:r w:rsidR="53DEF7DD">
        <w:rPr/>
        <w:t xml:space="preserve"> Ídem.</w:t>
      </w:r>
    </w:p>
  </w:footnote>
  <w:footnote w:id="17410">
    <w:p w:rsidR="53DEF7DD" w:rsidP="53DEF7DD" w:rsidRDefault="53DEF7DD" w14:paraId="102B1185" w14:textId="25ECDDA0">
      <w:pPr>
        <w:pStyle w:val="Textonotapie"/>
        <w:bidi w:val="0"/>
      </w:pPr>
      <w:r w:rsidRPr="53DEF7DD">
        <w:rPr>
          <w:rStyle w:val="Refdenotaalpie"/>
        </w:rPr>
        <w:footnoteRef/>
      </w:r>
      <w:r w:rsidR="53DEF7DD">
        <w:rPr/>
        <w:t xml:space="preserve"> Fallo en primera Instancia de Tutela con radicado 18001-33-33-005-2025-00154-00, Juzgado Quinto Administrativo de Florencia.</w:t>
      </w:r>
    </w:p>
  </w:footnote>
  <w:footnote w:id="22809">
    <w:p w:rsidR="53DEF7DD" w:rsidP="53DEF7DD" w:rsidRDefault="53DEF7DD" w14:paraId="52284637" w14:textId="0896B8AD">
      <w:pPr>
        <w:pStyle w:val="Textonotapie"/>
        <w:bidi w:val="0"/>
      </w:pPr>
      <w:r w:rsidRPr="53DEF7DD">
        <w:rPr>
          <w:rStyle w:val="Refdenotaalpie"/>
        </w:rPr>
        <w:footnoteRef/>
      </w:r>
      <w:r w:rsidR="53DEF7DD">
        <w:rPr/>
        <w:t xml:space="preserve"> Ídem.</w:t>
      </w:r>
    </w:p>
  </w:footnote>
  <w:footnote w:id="6810">
    <w:p w:rsidR="53DEF7DD" w:rsidP="53DEF7DD" w:rsidRDefault="53DEF7DD" w14:paraId="182E699C" w14:textId="116FD5E2">
      <w:pPr>
        <w:pStyle w:val="Textonotapie"/>
        <w:bidi w:val="0"/>
      </w:pPr>
      <w:r w:rsidRPr="53DEF7DD">
        <w:rPr>
          <w:rStyle w:val="Refdenotaalpie"/>
        </w:rPr>
        <w:footnoteRef/>
      </w:r>
      <w:r w:rsidR="53DEF7DD">
        <w:rPr/>
        <w:t xml:space="preserve"> Idem</w:t>
      </w:r>
    </w:p>
  </w:footnote>
  <w:footnote w:id="12151">
    <w:p w:rsidR="53DEF7DD" w:rsidP="53DEF7DD" w:rsidRDefault="53DEF7DD" w14:paraId="0A7862D5" w14:textId="5569D7F1">
      <w:pPr>
        <w:pStyle w:val="Textonotapie"/>
        <w:bidi w:val="0"/>
      </w:pPr>
      <w:r w:rsidRPr="53DEF7DD">
        <w:rPr>
          <w:rStyle w:val="Refdenotaalpie"/>
        </w:rPr>
        <w:footnoteRef/>
      </w:r>
      <w:r w:rsidR="53DEF7DD">
        <w:rPr/>
        <w:t xml:space="preserve"> Noticias_DVR. 22 de Octubre de 2025. Comunidades rechazan la explotación del río Hacha por riesgo ambiental y turístico. En: https://www.instagram.com/reel/DQH7Nw6gBUx/?utm_source=chatgpt.com</w:t>
      </w:r>
    </w:p>
  </w:footnote>
  <w:footnote w:id="4989">
    <w:p w:rsidR="53DEF7DD" w:rsidP="53DEF7DD" w:rsidRDefault="53DEF7DD" w14:paraId="42EBBEBF" w14:textId="51E84EE4">
      <w:pPr>
        <w:pStyle w:val="Textonotapie"/>
        <w:bidi w:val="0"/>
      </w:pPr>
      <w:r w:rsidRPr="53DEF7DD">
        <w:rPr>
          <w:rStyle w:val="Refdenotaalpie"/>
        </w:rPr>
        <w:footnoteRef/>
      </w:r>
      <w:r w:rsidR="53DEF7DD">
        <w:rPr/>
        <w:t xml:space="preserve"> Idem.</w:t>
      </w:r>
    </w:p>
  </w:footnote>
  <w:footnote w:id="14120">
    <w:p w:rsidR="53DEF7DD" w:rsidP="53DEF7DD" w:rsidRDefault="53DEF7DD" w14:paraId="42DA7F24" w14:textId="73E1F117">
      <w:pPr>
        <w:pStyle w:val="Textonotapie"/>
        <w:bidi w:val="0"/>
      </w:pPr>
      <w:r w:rsidRPr="53DEF7DD">
        <w:rPr>
          <w:rStyle w:val="Refdenotaalpie"/>
        </w:rPr>
        <w:footnoteRef/>
      </w:r>
      <w:r w:rsidR="53DEF7DD">
        <w:rPr/>
        <w:t xml:space="preserve"> Lente Regional. 4 de diciembre de 2025. Proyecto minero en el río Hacha ya no va. En: https://lenteregional.com/proyecto-minero-en-el-rio-hacha-ya-no-va/?utm_source=chatgpt.com</w:t>
      </w:r>
    </w:p>
  </w:footnote>
  <w:footnote w:id="32431">
    <w:p w:rsidR="53DEF7DD" w:rsidP="53DEF7DD" w:rsidRDefault="53DEF7DD" w14:paraId="7A1E6884" w14:textId="4EC9E2C6">
      <w:pPr>
        <w:pStyle w:val="Textonotapie"/>
        <w:bidi w:val="0"/>
      </w:pPr>
      <w:r w:rsidRPr="53DEF7DD">
        <w:rPr>
          <w:rStyle w:val="Refdenotaalpie"/>
        </w:rPr>
        <w:footnoteRef/>
      </w:r>
      <w:r w:rsidR="53DEF7DD">
        <w:rPr/>
        <w:t xml:space="preserve"> La Caqueteña. 3 de diciembre de 2025. Decisión Histórica El Río Hacha Declarado Sujeto De Derecho En Florencia. En: https://lacaquetena.net/post/decision-historica-el-rio-hacha-declarado-sujeto-de-derecho-en-florencia?utm_source=chatgpt.com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tbl>
    <w:tblPr>
      <w:tblW w:w="0" w:type="auto"/>
      <w:tblLook w:val="04A0" w:firstRow="1" w:lastRow="0" w:firstColumn="1" w:lastColumn="0" w:noHBand="0" w:noVBand="1"/>
    </w:tblPr>
    <w:tblGrid>
      <w:gridCol w:w="2880"/>
      <w:gridCol w:w="2880"/>
      <w:gridCol w:w="2880"/>
    </w:tblGrid>
    <w:tr w:rsidR="00527B8C" w14:paraId="789E1D8D" w14:textId="77777777">
      <w:trPr>
        <w:trHeight w:val="300"/>
      </w:trPr>
      <w:tc>
        <w:tcPr>
          <w:tcW w:w="2880" w:type="dxa"/>
        </w:tcPr>
        <w:p w:rsidR="00527B8C" w:rsidRDefault="00527B8C" w14:paraId="4C09FD93" w14:textId="77777777">
          <w:pPr>
            <w:pStyle w:val="Encabezado"/>
            <w:ind w:left="-115"/>
          </w:pPr>
        </w:p>
      </w:tc>
      <w:tc>
        <w:tcPr>
          <w:tcW w:w="2880" w:type="dxa"/>
        </w:tcPr>
        <w:p w:rsidR="00527B8C" w:rsidRDefault="00212A57" w14:paraId="3651CA3E" w14:textId="77777777">
          <w:pPr>
            <w:pStyle w:val="Encabezado"/>
            <w:jc w:val="center"/>
          </w:pPr>
          <w:r>
            <w:rPr>
              <w:noProof/>
            </w:rPr>
            <w:drawing>
              <wp:inline distT="0" distB="0" distL="0" distR="0" wp14:anchorId="190C190B" wp14:editId="00297811">
                <wp:extent cx="704850" cy="601345"/>
                <wp:effectExtent l="0" t="0" r="0" b="0"/>
                <wp:docPr id="7241535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153577" name="drawing"/>
                        <pic:cNvPicPr>
                          <a:picLocks noChangeAspect="1"/>
                        </pic:cNvPicPr>
                      </pic:nvPicPr>
                      <pic:blipFill>
                        <a:blip r:embed="rId1"/>
                        <a:stretch>
                          <a:fillRect/>
                        </a:stretch>
                      </pic:blipFill>
                      <pic:spPr>
                        <a:xfrm>
                          <a:off x="0" y="0"/>
                          <a:ext cx="704850" cy="601894"/>
                        </a:xfrm>
                        <a:prstGeom prst="rect">
                          <a:avLst/>
                        </a:prstGeom>
                      </pic:spPr>
                    </pic:pic>
                  </a:graphicData>
                </a:graphic>
              </wp:inline>
            </w:drawing>
          </w:r>
        </w:p>
      </w:tc>
      <w:tc>
        <w:tcPr>
          <w:tcW w:w="2880" w:type="dxa"/>
        </w:tcPr>
        <w:p w:rsidR="00527B8C" w:rsidRDefault="00527B8C" w14:paraId="7AC87E31" w14:textId="77777777">
          <w:pPr>
            <w:pStyle w:val="Encabezado"/>
            <w:ind w:right="-115"/>
            <w:jc w:val="right"/>
          </w:pPr>
        </w:p>
      </w:tc>
    </w:tr>
  </w:tbl>
  <w:p w:rsidR="00527B8C" w:rsidRDefault="00527B8C" w14:paraId="64E09EE2" w14:textId="7777777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8595140"/>
      <w:docPartObj>
        <w:docPartGallery w:val="Page Numbers (Top of Page)"/>
        <w:docPartUnique/>
      </w:docPartObj>
    </w:sdtPr>
    <w:sdtEndPr/>
    <w:sdtContent>
      <w:p w:rsidR="00DD5AA1" w:rsidRDefault="00DD5AA1" w14:paraId="0ADEE144" w14:textId="28E27554">
        <w:pPr>
          <w:pStyle w:val="Encabezado"/>
          <w:jc w:val="right"/>
        </w:pPr>
        <w:r>
          <w:fldChar w:fldCharType="begin"/>
        </w:r>
        <w:r>
          <w:instrText>PAGE   \* MERGEFORMAT</w:instrText>
        </w:r>
        <w:r>
          <w:fldChar w:fldCharType="separate"/>
        </w:r>
        <w:r>
          <w:t>2</w:t>
        </w:r>
        <w:r>
          <w:fldChar w:fldCharType="end"/>
        </w:r>
      </w:p>
    </w:sdtContent>
  </w:sdt>
  <w:p w:rsidR="00527B8C" w:rsidRDefault="00527B8C" w14:paraId="5A07022A" w14:textId="63F00AE5">
    <w:pPr>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4A0" w:firstRow="1" w:lastRow="0" w:firstColumn="1" w:lastColumn="0" w:noHBand="0" w:noVBand="1"/>
    </w:tblPr>
    <w:tblGrid>
      <w:gridCol w:w="2880"/>
      <w:gridCol w:w="2880"/>
      <w:gridCol w:w="2880"/>
    </w:tblGrid>
    <w:tr w:rsidR="00527B8C" w14:paraId="5288AAB5" w14:textId="77777777">
      <w:trPr>
        <w:trHeight w:val="300"/>
      </w:trPr>
      <w:tc>
        <w:tcPr>
          <w:tcW w:w="2880" w:type="dxa"/>
        </w:tcPr>
        <w:p w:rsidR="00527B8C" w:rsidRDefault="00527B8C" w14:paraId="551A0877" w14:textId="77777777">
          <w:pPr>
            <w:pStyle w:val="Encabezado"/>
            <w:ind w:left="-115"/>
          </w:pPr>
        </w:p>
      </w:tc>
      <w:tc>
        <w:tcPr>
          <w:tcW w:w="2880" w:type="dxa"/>
        </w:tcPr>
        <w:p w:rsidR="00527B8C" w:rsidRDefault="00527B8C" w14:paraId="62C393D9" w14:textId="77777777">
          <w:pPr>
            <w:pStyle w:val="Encabezado"/>
            <w:jc w:val="center"/>
          </w:pPr>
        </w:p>
      </w:tc>
      <w:tc>
        <w:tcPr>
          <w:tcW w:w="2880" w:type="dxa"/>
        </w:tcPr>
        <w:p w:rsidR="00527B8C" w:rsidRDefault="00527B8C" w14:paraId="040BC4C7" w14:textId="77777777">
          <w:pPr>
            <w:pStyle w:val="Encabezado"/>
            <w:ind w:right="-115"/>
            <w:jc w:val="right"/>
          </w:pPr>
        </w:p>
      </w:tc>
    </w:tr>
  </w:tbl>
  <w:p w:rsidR="00527B8C" w:rsidRDefault="00527B8C" w14:paraId="6009C63B" w14:textId="7777777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decimal"/>
      <w:pStyle w:val="Listaconnmeros3"/>
      <w:lvlText w:val="%1."/>
      <w:lvlJc w:val="left"/>
      <w:pPr>
        <w:tabs>
          <w:tab w:val="left" w:pos="1080"/>
        </w:tabs>
        <w:ind w:left="1080" w:hanging="360"/>
      </w:pPr>
    </w:lvl>
  </w:abstractNum>
  <w:abstractNum w:abstractNumId="1" w15:restartNumberingAfterBreak="0">
    <w:nsid w:val="FFFFFF7F"/>
    <w:multiLevelType w:val="singleLevel"/>
    <w:tmpl w:val="FFFFFF7F"/>
    <w:lvl w:ilvl="0">
      <w:start w:val="1"/>
      <w:numFmt w:val="decimal"/>
      <w:pStyle w:val="Listaconnmeros2"/>
      <w:lvlText w:val="%1."/>
      <w:lvlJc w:val="left"/>
      <w:pPr>
        <w:tabs>
          <w:tab w:val="left" w:pos="720"/>
        </w:tabs>
        <w:ind w:left="720" w:hanging="360"/>
      </w:pPr>
    </w:lvl>
  </w:abstractNum>
  <w:abstractNum w:abstractNumId="2" w15:restartNumberingAfterBreak="0">
    <w:nsid w:val="FFFFFF82"/>
    <w:multiLevelType w:val="singleLevel"/>
    <w:tmpl w:val="FFFFFF82"/>
    <w:lvl w:ilvl="0">
      <w:start w:val="1"/>
      <w:numFmt w:val="bullet"/>
      <w:pStyle w:val="Listaconvietas3"/>
      <w:lvlText w:val=""/>
      <w:lvlJc w:val="left"/>
      <w:pPr>
        <w:tabs>
          <w:tab w:val="left" w:pos="1080"/>
        </w:tabs>
        <w:ind w:left="1080" w:hanging="360"/>
      </w:pPr>
      <w:rPr>
        <w:rFonts w:hint="default" w:ascii="Symbol" w:hAnsi="Symbol"/>
      </w:rPr>
    </w:lvl>
  </w:abstractNum>
  <w:abstractNum w:abstractNumId="3" w15:restartNumberingAfterBreak="0">
    <w:nsid w:val="FFFFFF83"/>
    <w:multiLevelType w:val="singleLevel"/>
    <w:tmpl w:val="FFFFFF83"/>
    <w:lvl w:ilvl="0">
      <w:start w:val="1"/>
      <w:numFmt w:val="bullet"/>
      <w:pStyle w:val="Listaconvietas2"/>
      <w:lvlText w:val=""/>
      <w:lvlJc w:val="left"/>
      <w:pPr>
        <w:tabs>
          <w:tab w:val="left" w:pos="720"/>
        </w:tabs>
        <w:ind w:left="720" w:hanging="360"/>
      </w:pPr>
      <w:rPr>
        <w:rFonts w:hint="default" w:ascii="Symbol" w:hAnsi="Symbol"/>
      </w:rPr>
    </w:lvl>
  </w:abstractNum>
  <w:abstractNum w:abstractNumId="4" w15:restartNumberingAfterBreak="0">
    <w:nsid w:val="FFFFFF88"/>
    <w:multiLevelType w:val="singleLevel"/>
    <w:tmpl w:val="FFFFFF88"/>
    <w:lvl w:ilvl="0">
      <w:start w:val="1"/>
      <w:numFmt w:val="decimal"/>
      <w:pStyle w:val="Listaconnmeros"/>
      <w:lvlText w:val="%1."/>
      <w:lvlJc w:val="left"/>
      <w:pPr>
        <w:tabs>
          <w:tab w:val="left" w:pos="360"/>
        </w:tabs>
        <w:ind w:left="360" w:hanging="360"/>
      </w:pPr>
    </w:lvl>
  </w:abstractNum>
  <w:abstractNum w:abstractNumId="5" w15:restartNumberingAfterBreak="0">
    <w:nsid w:val="FFFFFF89"/>
    <w:multiLevelType w:val="singleLevel"/>
    <w:tmpl w:val="FFFFFF89"/>
    <w:lvl w:ilvl="0">
      <w:start w:val="1"/>
      <w:numFmt w:val="bullet"/>
      <w:pStyle w:val="Listaconvietas"/>
      <w:lvlText w:val=""/>
      <w:lvlJc w:val="left"/>
      <w:pPr>
        <w:tabs>
          <w:tab w:val="left" w:pos="360"/>
        </w:tabs>
        <w:ind w:left="360" w:hanging="360"/>
      </w:pPr>
      <w:rPr>
        <w:rFonts w:hint="default" w:ascii="Symbol" w:hAnsi="Symbol"/>
      </w:rPr>
    </w:lvl>
  </w:abstractNum>
  <w:abstractNum w:abstractNumId="6" w15:restartNumberingAfterBreak="0">
    <w:nsid w:val="03979643"/>
    <w:multiLevelType w:val="multilevel"/>
    <w:tmpl w:val="03979643"/>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7" w15:restartNumberingAfterBreak="0">
    <w:nsid w:val="04421A69"/>
    <w:multiLevelType w:val="multilevel"/>
    <w:tmpl w:val="04421A69"/>
    <w:lvl w:ilvl="0">
      <w:start w:val="1"/>
      <w:numFmt w:val="bullet"/>
      <w:lvlText w:val="o"/>
      <w:lvlJc w:val="left"/>
      <w:pPr>
        <w:ind w:left="1080" w:hanging="360"/>
      </w:pPr>
      <w:rPr>
        <w:rFonts w:hint="default" w:ascii="Courier New" w:hAnsi="Courier New"/>
      </w:rPr>
    </w:lvl>
    <w:lvl w:ilvl="1">
      <w:start w:val="1"/>
      <w:numFmt w:val="bullet"/>
      <w:lvlText w:val="o"/>
      <w:lvlJc w:val="left"/>
      <w:pPr>
        <w:ind w:left="1800" w:hanging="360"/>
      </w:pPr>
      <w:rPr>
        <w:rFonts w:hint="default" w:ascii="Courier New" w:hAnsi="Courier New"/>
      </w:rPr>
    </w:lvl>
    <w:lvl w:ilvl="2">
      <w:start w:val="1"/>
      <w:numFmt w:val="bullet"/>
      <w:lvlText w:val=""/>
      <w:lvlJc w:val="left"/>
      <w:pPr>
        <w:ind w:left="2520" w:hanging="360"/>
      </w:pPr>
      <w:rPr>
        <w:rFonts w:hint="default" w:ascii="Wingdings" w:hAnsi="Wingdings"/>
      </w:rPr>
    </w:lvl>
    <w:lvl w:ilvl="3">
      <w:start w:val="1"/>
      <w:numFmt w:val="bullet"/>
      <w:lvlText w:val=""/>
      <w:lvlJc w:val="left"/>
      <w:pPr>
        <w:ind w:left="3240" w:hanging="360"/>
      </w:pPr>
      <w:rPr>
        <w:rFonts w:hint="default" w:ascii="Symbol" w:hAnsi="Symbol"/>
      </w:rPr>
    </w:lvl>
    <w:lvl w:ilvl="4">
      <w:start w:val="1"/>
      <w:numFmt w:val="bullet"/>
      <w:lvlText w:val="o"/>
      <w:lvlJc w:val="left"/>
      <w:pPr>
        <w:ind w:left="3960" w:hanging="360"/>
      </w:pPr>
      <w:rPr>
        <w:rFonts w:hint="default" w:ascii="Courier New" w:hAnsi="Courier New"/>
      </w:rPr>
    </w:lvl>
    <w:lvl w:ilvl="5">
      <w:start w:val="1"/>
      <w:numFmt w:val="bullet"/>
      <w:lvlText w:val=""/>
      <w:lvlJc w:val="left"/>
      <w:pPr>
        <w:ind w:left="4680" w:hanging="360"/>
      </w:pPr>
      <w:rPr>
        <w:rFonts w:hint="default" w:ascii="Wingdings" w:hAnsi="Wingdings"/>
      </w:rPr>
    </w:lvl>
    <w:lvl w:ilvl="6">
      <w:start w:val="1"/>
      <w:numFmt w:val="bullet"/>
      <w:lvlText w:val=""/>
      <w:lvlJc w:val="left"/>
      <w:pPr>
        <w:ind w:left="5400" w:hanging="360"/>
      </w:pPr>
      <w:rPr>
        <w:rFonts w:hint="default" w:ascii="Symbol" w:hAnsi="Symbol"/>
      </w:rPr>
    </w:lvl>
    <w:lvl w:ilvl="7">
      <w:start w:val="1"/>
      <w:numFmt w:val="bullet"/>
      <w:lvlText w:val="o"/>
      <w:lvlJc w:val="left"/>
      <w:pPr>
        <w:ind w:left="6120" w:hanging="360"/>
      </w:pPr>
      <w:rPr>
        <w:rFonts w:hint="default" w:ascii="Courier New" w:hAnsi="Courier New"/>
      </w:rPr>
    </w:lvl>
    <w:lvl w:ilvl="8">
      <w:start w:val="1"/>
      <w:numFmt w:val="bullet"/>
      <w:lvlText w:val=""/>
      <w:lvlJc w:val="left"/>
      <w:pPr>
        <w:ind w:left="6840" w:hanging="360"/>
      </w:pPr>
      <w:rPr>
        <w:rFonts w:hint="default" w:ascii="Wingdings" w:hAnsi="Wingdings"/>
      </w:rPr>
    </w:lvl>
  </w:abstractNum>
  <w:abstractNum w:abstractNumId="8" w15:restartNumberingAfterBreak="0">
    <w:nsid w:val="06DF43E1"/>
    <w:multiLevelType w:val="multilevel"/>
    <w:tmpl w:val="06DF43E1"/>
    <w:lvl w:ilvl="0">
      <w:start w:val="1"/>
      <w:numFmt w:val="bullet"/>
      <w:lvlText w:val=""/>
      <w:lvlJc w:val="left"/>
      <w:pPr>
        <w:tabs>
          <w:tab w:val="left" w:pos="720"/>
        </w:tabs>
        <w:ind w:left="720" w:hanging="360"/>
      </w:pPr>
      <w:rPr>
        <w:rFonts w:hint="default" w:ascii="Symbol" w:hAnsi="Symbol"/>
        <w:sz w:val="20"/>
      </w:rPr>
    </w:lvl>
    <w:lvl w:ilvl="1">
      <w:start w:val="1"/>
      <w:numFmt w:val="bullet"/>
      <w:lvlText w:val="o"/>
      <w:lvlJc w:val="left"/>
      <w:pPr>
        <w:tabs>
          <w:tab w:val="left" w:pos="1440"/>
        </w:tabs>
        <w:ind w:left="1440" w:hanging="360"/>
      </w:pPr>
      <w:rPr>
        <w:rFonts w:hint="default" w:ascii="Courier New" w:hAnsi="Courier New"/>
        <w:sz w:val="20"/>
      </w:rPr>
    </w:lvl>
    <w:lvl w:ilvl="2">
      <w:start w:val="1"/>
      <w:numFmt w:val="bullet"/>
      <w:lvlText w:val=""/>
      <w:lvlJc w:val="left"/>
      <w:pPr>
        <w:tabs>
          <w:tab w:val="left" w:pos="2160"/>
        </w:tabs>
        <w:ind w:left="2160" w:hanging="360"/>
      </w:pPr>
      <w:rPr>
        <w:rFonts w:hint="default" w:ascii="Wingdings" w:hAnsi="Wingdings"/>
        <w:sz w:val="20"/>
      </w:rPr>
    </w:lvl>
    <w:lvl w:ilvl="3">
      <w:start w:val="1"/>
      <w:numFmt w:val="bullet"/>
      <w:lvlText w:val=""/>
      <w:lvlJc w:val="left"/>
      <w:pPr>
        <w:tabs>
          <w:tab w:val="left" w:pos="2880"/>
        </w:tabs>
        <w:ind w:left="2880" w:hanging="360"/>
      </w:pPr>
      <w:rPr>
        <w:rFonts w:hint="default" w:ascii="Wingdings" w:hAnsi="Wingdings"/>
        <w:sz w:val="20"/>
      </w:rPr>
    </w:lvl>
    <w:lvl w:ilvl="4">
      <w:start w:val="1"/>
      <w:numFmt w:val="bullet"/>
      <w:lvlText w:val=""/>
      <w:lvlJc w:val="left"/>
      <w:pPr>
        <w:tabs>
          <w:tab w:val="left" w:pos="3600"/>
        </w:tabs>
        <w:ind w:left="3600" w:hanging="360"/>
      </w:pPr>
      <w:rPr>
        <w:rFonts w:hint="default" w:ascii="Wingdings" w:hAnsi="Wingdings"/>
        <w:sz w:val="20"/>
      </w:rPr>
    </w:lvl>
    <w:lvl w:ilvl="5">
      <w:start w:val="1"/>
      <w:numFmt w:val="bullet"/>
      <w:lvlText w:val=""/>
      <w:lvlJc w:val="left"/>
      <w:pPr>
        <w:tabs>
          <w:tab w:val="left" w:pos="4320"/>
        </w:tabs>
        <w:ind w:left="4320" w:hanging="360"/>
      </w:pPr>
      <w:rPr>
        <w:rFonts w:hint="default" w:ascii="Wingdings" w:hAnsi="Wingdings"/>
        <w:sz w:val="20"/>
      </w:rPr>
    </w:lvl>
    <w:lvl w:ilvl="6">
      <w:start w:val="1"/>
      <w:numFmt w:val="bullet"/>
      <w:lvlText w:val=""/>
      <w:lvlJc w:val="left"/>
      <w:pPr>
        <w:tabs>
          <w:tab w:val="left" w:pos="5040"/>
        </w:tabs>
        <w:ind w:left="5040" w:hanging="360"/>
      </w:pPr>
      <w:rPr>
        <w:rFonts w:hint="default" w:ascii="Wingdings" w:hAnsi="Wingdings"/>
        <w:sz w:val="20"/>
      </w:rPr>
    </w:lvl>
    <w:lvl w:ilvl="7">
      <w:start w:val="1"/>
      <w:numFmt w:val="bullet"/>
      <w:lvlText w:val=""/>
      <w:lvlJc w:val="left"/>
      <w:pPr>
        <w:tabs>
          <w:tab w:val="left" w:pos="5760"/>
        </w:tabs>
        <w:ind w:left="5760" w:hanging="360"/>
      </w:pPr>
      <w:rPr>
        <w:rFonts w:hint="default" w:ascii="Wingdings" w:hAnsi="Wingdings"/>
        <w:sz w:val="20"/>
      </w:rPr>
    </w:lvl>
    <w:lvl w:ilvl="8">
      <w:start w:val="1"/>
      <w:numFmt w:val="bullet"/>
      <w:lvlText w:val=""/>
      <w:lvlJc w:val="left"/>
      <w:pPr>
        <w:tabs>
          <w:tab w:val="left" w:pos="6480"/>
        </w:tabs>
        <w:ind w:left="6480" w:hanging="360"/>
      </w:pPr>
      <w:rPr>
        <w:rFonts w:hint="default" w:ascii="Wingdings" w:hAnsi="Wingdings"/>
        <w:sz w:val="20"/>
      </w:rPr>
    </w:lvl>
  </w:abstractNum>
  <w:abstractNum w:abstractNumId="9" w15:restartNumberingAfterBreak="0">
    <w:nsid w:val="07014933"/>
    <w:multiLevelType w:val="multilevel"/>
    <w:tmpl w:val="07014933"/>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10" w15:restartNumberingAfterBreak="0">
    <w:nsid w:val="089614CC"/>
    <w:multiLevelType w:val="multilevel"/>
    <w:tmpl w:val="F2A2BED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1" w15:restartNumberingAfterBreak="0">
    <w:nsid w:val="10177717"/>
    <w:multiLevelType w:val="multilevel"/>
    <w:tmpl w:val="10177717"/>
    <w:lvl w:ilvl="0">
      <w:start w:val="1"/>
      <w:numFmt w:val="bullet"/>
      <w:lvlText w:val=""/>
      <w:lvlJc w:val="left"/>
      <w:pPr>
        <w:tabs>
          <w:tab w:val="left" w:pos="720"/>
        </w:tabs>
        <w:ind w:left="720" w:hanging="360"/>
      </w:pPr>
      <w:rPr>
        <w:rFonts w:hint="default" w:ascii="Symbol" w:hAnsi="Symbol"/>
        <w:sz w:val="20"/>
      </w:rPr>
    </w:lvl>
    <w:lvl w:ilvl="1">
      <w:start w:val="1"/>
      <w:numFmt w:val="bullet"/>
      <w:lvlText w:val="o"/>
      <w:lvlJc w:val="left"/>
      <w:pPr>
        <w:tabs>
          <w:tab w:val="left" w:pos="1440"/>
        </w:tabs>
        <w:ind w:left="1440" w:hanging="360"/>
      </w:pPr>
      <w:rPr>
        <w:rFonts w:hint="default" w:ascii="Courier New" w:hAnsi="Courier New"/>
        <w:sz w:val="20"/>
      </w:rPr>
    </w:lvl>
    <w:lvl w:ilvl="2">
      <w:start w:val="1"/>
      <w:numFmt w:val="bullet"/>
      <w:lvlText w:val=""/>
      <w:lvlJc w:val="left"/>
      <w:pPr>
        <w:tabs>
          <w:tab w:val="left" w:pos="2160"/>
        </w:tabs>
        <w:ind w:left="2160" w:hanging="360"/>
      </w:pPr>
      <w:rPr>
        <w:rFonts w:hint="default" w:ascii="Wingdings" w:hAnsi="Wingdings"/>
        <w:sz w:val="20"/>
      </w:rPr>
    </w:lvl>
    <w:lvl w:ilvl="3">
      <w:start w:val="1"/>
      <w:numFmt w:val="bullet"/>
      <w:lvlText w:val=""/>
      <w:lvlJc w:val="left"/>
      <w:pPr>
        <w:tabs>
          <w:tab w:val="left" w:pos="2880"/>
        </w:tabs>
        <w:ind w:left="2880" w:hanging="360"/>
      </w:pPr>
      <w:rPr>
        <w:rFonts w:hint="default" w:ascii="Wingdings" w:hAnsi="Wingdings"/>
        <w:sz w:val="20"/>
      </w:rPr>
    </w:lvl>
    <w:lvl w:ilvl="4">
      <w:start w:val="1"/>
      <w:numFmt w:val="bullet"/>
      <w:lvlText w:val=""/>
      <w:lvlJc w:val="left"/>
      <w:pPr>
        <w:tabs>
          <w:tab w:val="left" w:pos="3600"/>
        </w:tabs>
        <w:ind w:left="3600" w:hanging="360"/>
      </w:pPr>
      <w:rPr>
        <w:rFonts w:hint="default" w:ascii="Wingdings" w:hAnsi="Wingdings"/>
        <w:sz w:val="20"/>
      </w:rPr>
    </w:lvl>
    <w:lvl w:ilvl="5">
      <w:start w:val="1"/>
      <w:numFmt w:val="bullet"/>
      <w:lvlText w:val=""/>
      <w:lvlJc w:val="left"/>
      <w:pPr>
        <w:tabs>
          <w:tab w:val="left" w:pos="4320"/>
        </w:tabs>
        <w:ind w:left="4320" w:hanging="360"/>
      </w:pPr>
      <w:rPr>
        <w:rFonts w:hint="default" w:ascii="Wingdings" w:hAnsi="Wingdings"/>
        <w:sz w:val="20"/>
      </w:rPr>
    </w:lvl>
    <w:lvl w:ilvl="6">
      <w:start w:val="1"/>
      <w:numFmt w:val="bullet"/>
      <w:lvlText w:val=""/>
      <w:lvlJc w:val="left"/>
      <w:pPr>
        <w:tabs>
          <w:tab w:val="left" w:pos="5040"/>
        </w:tabs>
        <w:ind w:left="5040" w:hanging="360"/>
      </w:pPr>
      <w:rPr>
        <w:rFonts w:hint="default" w:ascii="Wingdings" w:hAnsi="Wingdings"/>
        <w:sz w:val="20"/>
      </w:rPr>
    </w:lvl>
    <w:lvl w:ilvl="7">
      <w:start w:val="1"/>
      <w:numFmt w:val="bullet"/>
      <w:lvlText w:val=""/>
      <w:lvlJc w:val="left"/>
      <w:pPr>
        <w:tabs>
          <w:tab w:val="left" w:pos="5760"/>
        </w:tabs>
        <w:ind w:left="5760" w:hanging="360"/>
      </w:pPr>
      <w:rPr>
        <w:rFonts w:hint="default" w:ascii="Wingdings" w:hAnsi="Wingdings"/>
        <w:sz w:val="20"/>
      </w:rPr>
    </w:lvl>
    <w:lvl w:ilvl="8">
      <w:start w:val="1"/>
      <w:numFmt w:val="bullet"/>
      <w:lvlText w:val=""/>
      <w:lvlJc w:val="left"/>
      <w:pPr>
        <w:tabs>
          <w:tab w:val="left" w:pos="6480"/>
        </w:tabs>
        <w:ind w:left="6480" w:hanging="360"/>
      </w:pPr>
      <w:rPr>
        <w:rFonts w:hint="default" w:ascii="Wingdings" w:hAnsi="Wingdings"/>
        <w:sz w:val="20"/>
      </w:rPr>
    </w:lvl>
  </w:abstractNum>
  <w:abstractNum w:abstractNumId="12" w15:restartNumberingAfterBreak="0">
    <w:nsid w:val="119C6FB7"/>
    <w:multiLevelType w:val="multilevel"/>
    <w:tmpl w:val="119C6FB7"/>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13" w15:restartNumberingAfterBreak="0">
    <w:nsid w:val="125AAB33"/>
    <w:multiLevelType w:val="multilevel"/>
    <w:tmpl w:val="125AAB33"/>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14" w15:restartNumberingAfterBreak="0">
    <w:nsid w:val="15156844"/>
    <w:multiLevelType w:val="multilevel"/>
    <w:tmpl w:val="15156844"/>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15" w15:restartNumberingAfterBreak="0">
    <w:nsid w:val="16F55BB3"/>
    <w:multiLevelType w:val="multilevel"/>
    <w:tmpl w:val="16F55BB3"/>
    <w:lvl w:ilvl="0">
      <w:start w:val="1"/>
      <w:numFmt w:val="bullet"/>
      <w:lvlText w:val=""/>
      <w:lvlJc w:val="left"/>
      <w:pPr>
        <w:tabs>
          <w:tab w:val="left" w:pos="720"/>
        </w:tabs>
        <w:ind w:left="720" w:hanging="360"/>
      </w:pPr>
      <w:rPr>
        <w:rFonts w:hint="default" w:ascii="Symbol" w:hAnsi="Symbol"/>
        <w:sz w:val="20"/>
      </w:rPr>
    </w:lvl>
    <w:lvl w:ilvl="1">
      <w:start w:val="1"/>
      <w:numFmt w:val="bullet"/>
      <w:lvlText w:val="o"/>
      <w:lvlJc w:val="left"/>
      <w:pPr>
        <w:tabs>
          <w:tab w:val="left" w:pos="1440"/>
        </w:tabs>
        <w:ind w:left="1440" w:hanging="360"/>
      </w:pPr>
      <w:rPr>
        <w:rFonts w:hint="default" w:ascii="Courier New" w:hAnsi="Courier New"/>
        <w:sz w:val="20"/>
      </w:rPr>
    </w:lvl>
    <w:lvl w:ilvl="2">
      <w:start w:val="1"/>
      <w:numFmt w:val="bullet"/>
      <w:lvlText w:val=""/>
      <w:lvlJc w:val="left"/>
      <w:pPr>
        <w:tabs>
          <w:tab w:val="left" w:pos="2160"/>
        </w:tabs>
        <w:ind w:left="2160" w:hanging="360"/>
      </w:pPr>
      <w:rPr>
        <w:rFonts w:hint="default" w:ascii="Wingdings" w:hAnsi="Wingdings"/>
        <w:sz w:val="20"/>
      </w:rPr>
    </w:lvl>
    <w:lvl w:ilvl="3">
      <w:start w:val="1"/>
      <w:numFmt w:val="bullet"/>
      <w:lvlText w:val=""/>
      <w:lvlJc w:val="left"/>
      <w:pPr>
        <w:tabs>
          <w:tab w:val="left" w:pos="2880"/>
        </w:tabs>
        <w:ind w:left="2880" w:hanging="360"/>
      </w:pPr>
      <w:rPr>
        <w:rFonts w:hint="default" w:ascii="Wingdings" w:hAnsi="Wingdings"/>
        <w:sz w:val="20"/>
      </w:rPr>
    </w:lvl>
    <w:lvl w:ilvl="4">
      <w:start w:val="1"/>
      <w:numFmt w:val="bullet"/>
      <w:lvlText w:val=""/>
      <w:lvlJc w:val="left"/>
      <w:pPr>
        <w:tabs>
          <w:tab w:val="left" w:pos="3600"/>
        </w:tabs>
        <w:ind w:left="3600" w:hanging="360"/>
      </w:pPr>
      <w:rPr>
        <w:rFonts w:hint="default" w:ascii="Wingdings" w:hAnsi="Wingdings"/>
        <w:sz w:val="20"/>
      </w:rPr>
    </w:lvl>
    <w:lvl w:ilvl="5">
      <w:start w:val="1"/>
      <w:numFmt w:val="bullet"/>
      <w:lvlText w:val=""/>
      <w:lvlJc w:val="left"/>
      <w:pPr>
        <w:tabs>
          <w:tab w:val="left" w:pos="4320"/>
        </w:tabs>
        <w:ind w:left="4320" w:hanging="360"/>
      </w:pPr>
      <w:rPr>
        <w:rFonts w:hint="default" w:ascii="Wingdings" w:hAnsi="Wingdings"/>
        <w:sz w:val="20"/>
      </w:rPr>
    </w:lvl>
    <w:lvl w:ilvl="6">
      <w:start w:val="1"/>
      <w:numFmt w:val="bullet"/>
      <w:lvlText w:val=""/>
      <w:lvlJc w:val="left"/>
      <w:pPr>
        <w:tabs>
          <w:tab w:val="left" w:pos="5040"/>
        </w:tabs>
        <w:ind w:left="5040" w:hanging="360"/>
      </w:pPr>
      <w:rPr>
        <w:rFonts w:hint="default" w:ascii="Wingdings" w:hAnsi="Wingdings"/>
        <w:sz w:val="20"/>
      </w:rPr>
    </w:lvl>
    <w:lvl w:ilvl="7">
      <w:start w:val="1"/>
      <w:numFmt w:val="bullet"/>
      <w:lvlText w:val=""/>
      <w:lvlJc w:val="left"/>
      <w:pPr>
        <w:tabs>
          <w:tab w:val="left" w:pos="5760"/>
        </w:tabs>
        <w:ind w:left="5760" w:hanging="360"/>
      </w:pPr>
      <w:rPr>
        <w:rFonts w:hint="default" w:ascii="Wingdings" w:hAnsi="Wingdings"/>
        <w:sz w:val="20"/>
      </w:rPr>
    </w:lvl>
    <w:lvl w:ilvl="8">
      <w:start w:val="1"/>
      <w:numFmt w:val="bullet"/>
      <w:lvlText w:val=""/>
      <w:lvlJc w:val="left"/>
      <w:pPr>
        <w:tabs>
          <w:tab w:val="left" w:pos="6480"/>
        </w:tabs>
        <w:ind w:left="6480" w:hanging="360"/>
      </w:pPr>
      <w:rPr>
        <w:rFonts w:hint="default" w:ascii="Wingdings" w:hAnsi="Wingdings"/>
        <w:sz w:val="20"/>
      </w:rPr>
    </w:lvl>
  </w:abstractNum>
  <w:abstractNum w:abstractNumId="16" w15:restartNumberingAfterBreak="0">
    <w:nsid w:val="1A5D5333"/>
    <w:multiLevelType w:val="multilevel"/>
    <w:tmpl w:val="1A5D533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DFC0CC2"/>
    <w:multiLevelType w:val="multilevel"/>
    <w:tmpl w:val="1DFC0CC2"/>
    <w:lvl w:ilvl="0">
      <w:start w:val="1"/>
      <w:numFmt w:val="bullet"/>
      <w:lvlText w:val=""/>
      <w:lvlJc w:val="left"/>
      <w:pPr>
        <w:tabs>
          <w:tab w:val="left" w:pos="720"/>
        </w:tabs>
        <w:ind w:left="720" w:hanging="360"/>
      </w:pPr>
      <w:rPr>
        <w:rFonts w:hint="default" w:ascii="Symbol" w:hAnsi="Symbol"/>
        <w:sz w:val="20"/>
      </w:rPr>
    </w:lvl>
    <w:lvl w:ilvl="1">
      <w:start w:val="1"/>
      <w:numFmt w:val="bullet"/>
      <w:lvlText w:val="o"/>
      <w:lvlJc w:val="left"/>
      <w:pPr>
        <w:tabs>
          <w:tab w:val="left" w:pos="1440"/>
        </w:tabs>
        <w:ind w:left="1440" w:hanging="360"/>
      </w:pPr>
      <w:rPr>
        <w:rFonts w:hint="default" w:ascii="Courier New" w:hAnsi="Courier New"/>
        <w:sz w:val="20"/>
      </w:rPr>
    </w:lvl>
    <w:lvl w:ilvl="2">
      <w:start w:val="1"/>
      <w:numFmt w:val="bullet"/>
      <w:lvlText w:val=""/>
      <w:lvlJc w:val="left"/>
      <w:pPr>
        <w:tabs>
          <w:tab w:val="left" w:pos="2160"/>
        </w:tabs>
        <w:ind w:left="2160" w:hanging="360"/>
      </w:pPr>
      <w:rPr>
        <w:rFonts w:hint="default" w:ascii="Wingdings" w:hAnsi="Wingdings"/>
        <w:sz w:val="20"/>
      </w:rPr>
    </w:lvl>
    <w:lvl w:ilvl="3">
      <w:start w:val="1"/>
      <w:numFmt w:val="bullet"/>
      <w:lvlText w:val=""/>
      <w:lvlJc w:val="left"/>
      <w:pPr>
        <w:tabs>
          <w:tab w:val="left" w:pos="2880"/>
        </w:tabs>
        <w:ind w:left="2880" w:hanging="360"/>
      </w:pPr>
      <w:rPr>
        <w:rFonts w:hint="default" w:ascii="Wingdings" w:hAnsi="Wingdings"/>
        <w:sz w:val="20"/>
      </w:rPr>
    </w:lvl>
    <w:lvl w:ilvl="4">
      <w:start w:val="1"/>
      <w:numFmt w:val="bullet"/>
      <w:lvlText w:val=""/>
      <w:lvlJc w:val="left"/>
      <w:pPr>
        <w:tabs>
          <w:tab w:val="left" w:pos="3600"/>
        </w:tabs>
        <w:ind w:left="3600" w:hanging="360"/>
      </w:pPr>
      <w:rPr>
        <w:rFonts w:hint="default" w:ascii="Wingdings" w:hAnsi="Wingdings"/>
        <w:sz w:val="20"/>
      </w:rPr>
    </w:lvl>
    <w:lvl w:ilvl="5">
      <w:start w:val="1"/>
      <w:numFmt w:val="bullet"/>
      <w:lvlText w:val=""/>
      <w:lvlJc w:val="left"/>
      <w:pPr>
        <w:tabs>
          <w:tab w:val="left" w:pos="4320"/>
        </w:tabs>
        <w:ind w:left="4320" w:hanging="360"/>
      </w:pPr>
      <w:rPr>
        <w:rFonts w:hint="default" w:ascii="Wingdings" w:hAnsi="Wingdings"/>
        <w:sz w:val="20"/>
      </w:rPr>
    </w:lvl>
    <w:lvl w:ilvl="6">
      <w:start w:val="1"/>
      <w:numFmt w:val="bullet"/>
      <w:lvlText w:val=""/>
      <w:lvlJc w:val="left"/>
      <w:pPr>
        <w:tabs>
          <w:tab w:val="left" w:pos="5040"/>
        </w:tabs>
        <w:ind w:left="5040" w:hanging="360"/>
      </w:pPr>
      <w:rPr>
        <w:rFonts w:hint="default" w:ascii="Wingdings" w:hAnsi="Wingdings"/>
        <w:sz w:val="20"/>
      </w:rPr>
    </w:lvl>
    <w:lvl w:ilvl="7">
      <w:start w:val="1"/>
      <w:numFmt w:val="bullet"/>
      <w:lvlText w:val=""/>
      <w:lvlJc w:val="left"/>
      <w:pPr>
        <w:tabs>
          <w:tab w:val="left" w:pos="5760"/>
        </w:tabs>
        <w:ind w:left="5760" w:hanging="360"/>
      </w:pPr>
      <w:rPr>
        <w:rFonts w:hint="default" w:ascii="Wingdings" w:hAnsi="Wingdings"/>
        <w:sz w:val="20"/>
      </w:rPr>
    </w:lvl>
    <w:lvl w:ilvl="8">
      <w:start w:val="1"/>
      <w:numFmt w:val="bullet"/>
      <w:lvlText w:val=""/>
      <w:lvlJc w:val="left"/>
      <w:pPr>
        <w:tabs>
          <w:tab w:val="left" w:pos="6480"/>
        </w:tabs>
        <w:ind w:left="6480" w:hanging="360"/>
      </w:pPr>
      <w:rPr>
        <w:rFonts w:hint="default" w:ascii="Wingdings" w:hAnsi="Wingdings"/>
        <w:sz w:val="20"/>
      </w:rPr>
    </w:lvl>
  </w:abstractNum>
  <w:abstractNum w:abstractNumId="18" w15:restartNumberingAfterBreak="0">
    <w:nsid w:val="1E962AB7"/>
    <w:multiLevelType w:val="multilevel"/>
    <w:tmpl w:val="1E962AB7"/>
    <w:lvl w:ilvl="0">
      <w:start w:val="1"/>
      <w:numFmt w:val="bullet"/>
      <w:lvlText w:val=""/>
      <w:lvlJc w:val="left"/>
      <w:pPr>
        <w:tabs>
          <w:tab w:val="left" w:pos="720"/>
        </w:tabs>
        <w:ind w:left="720" w:hanging="360"/>
      </w:pPr>
      <w:rPr>
        <w:rFonts w:hint="default" w:ascii="Symbol" w:hAnsi="Symbol"/>
        <w:sz w:val="20"/>
      </w:rPr>
    </w:lvl>
    <w:lvl w:ilvl="1">
      <w:start w:val="1"/>
      <w:numFmt w:val="bullet"/>
      <w:lvlText w:val="o"/>
      <w:lvlJc w:val="left"/>
      <w:pPr>
        <w:tabs>
          <w:tab w:val="left" w:pos="1440"/>
        </w:tabs>
        <w:ind w:left="1440" w:hanging="360"/>
      </w:pPr>
      <w:rPr>
        <w:rFonts w:hint="default" w:ascii="Courier New" w:hAnsi="Courier New"/>
        <w:sz w:val="20"/>
      </w:rPr>
    </w:lvl>
    <w:lvl w:ilvl="2">
      <w:start w:val="1"/>
      <w:numFmt w:val="bullet"/>
      <w:lvlText w:val=""/>
      <w:lvlJc w:val="left"/>
      <w:pPr>
        <w:tabs>
          <w:tab w:val="left" w:pos="2160"/>
        </w:tabs>
        <w:ind w:left="2160" w:hanging="360"/>
      </w:pPr>
      <w:rPr>
        <w:rFonts w:hint="default" w:ascii="Wingdings" w:hAnsi="Wingdings"/>
        <w:sz w:val="20"/>
      </w:rPr>
    </w:lvl>
    <w:lvl w:ilvl="3">
      <w:start w:val="1"/>
      <w:numFmt w:val="bullet"/>
      <w:lvlText w:val=""/>
      <w:lvlJc w:val="left"/>
      <w:pPr>
        <w:tabs>
          <w:tab w:val="left" w:pos="2880"/>
        </w:tabs>
        <w:ind w:left="2880" w:hanging="360"/>
      </w:pPr>
      <w:rPr>
        <w:rFonts w:hint="default" w:ascii="Wingdings" w:hAnsi="Wingdings"/>
        <w:sz w:val="20"/>
      </w:rPr>
    </w:lvl>
    <w:lvl w:ilvl="4">
      <w:start w:val="1"/>
      <w:numFmt w:val="bullet"/>
      <w:lvlText w:val=""/>
      <w:lvlJc w:val="left"/>
      <w:pPr>
        <w:tabs>
          <w:tab w:val="left" w:pos="3600"/>
        </w:tabs>
        <w:ind w:left="3600" w:hanging="360"/>
      </w:pPr>
      <w:rPr>
        <w:rFonts w:hint="default" w:ascii="Wingdings" w:hAnsi="Wingdings"/>
        <w:sz w:val="20"/>
      </w:rPr>
    </w:lvl>
    <w:lvl w:ilvl="5">
      <w:start w:val="1"/>
      <w:numFmt w:val="bullet"/>
      <w:lvlText w:val=""/>
      <w:lvlJc w:val="left"/>
      <w:pPr>
        <w:tabs>
          <w:tab w:val="left" w:pos="4320"/>
        </w:tabs>
        <w:ind w:left="4320" w:hanging="360"/>
      </w:pPr>
      <w:rPr>
        <w:rFonts w:hint="default" w:ascii="Wingdings" w:hAnsi="Wingdings"/>
        <w:sz w:val="20"/>
      </w:rPr>
    </w:lvl>
    <w:lvl w:ilvl="6">
      <w:start w:val="1"/>
      <w:numFmt w:val="bullet"/>
      <w:lvlText w:val=""/>
      <w:lvlJc w:val="left"/>
      <w:pPr>
        <w:tabs>
          <w:tab w:val="left" w:pos="5040"/>
        </w:tabs>
        <w:ind w:left="5040" w:hanging="360"/>
      </w:pPr>
      <w:rPr>
        <w:rFonts w:hint="default" w:ascii="Wingdings" w:hAnsi="Wingdings"/>
        <w:sz w:val="20"/>
      </w:rPr>
    </w:lvl>
    <w:lvl w:ilvl="7">
      <w:start w:val="1"/>
      <w:numFmt w:val="bullet"/>
      <w:lvlText w:val=""/>
      <w:lvlJc w:val="left"/>
      <w:pPr>
        <w:tabs>
          <w:tab w:val="left" w:pos="5760"/>
        </w:tabs>
        <w:ind w:left="5760" w:hanging="360"/>
      </w:pPr>
      <w:rPr>
        <w:rFonts w:hint="default" w:ascii="Wingdings" w:hAnsi="Wingdings"/>
        <w:sz w:val="20"/>
      </w:rPr>
    </w:lvl>
    <w:lvl w:ilvl="8">
      <w:start w:val="1"/>
      <w:numFmt w:val="bullet"/>
      <w:lvlText w:val=""/>
      <w:lvlJc w:val="left"/>
      <w:pPr>
        <w:tabs>
          <w:tab w:val="left" w:pos="6480"/>
        </w:tabs>
        <w:ind w:left="6480" w:hanging="360"/>
      </w:pPr>
      <w:rPr>
        <w:rFonts w:hint="default" w:ascii="Wingdings" w:hAnsi="Wingdings"/>
        <w:sz w:val="20"/>
      </w:rPr>
    </w:lvl>
  </w:abstractNum>
  <w:abstractNum w:abstractNumId="19" w15:restartNumberingAfterBreak="0">
    <w:nsid w:val="252003E5"/>
    <w:multiLevelType w:val="multilevel"/>
    <w:tmpl w:val="252003E5"/>
    <w:lvl w:ilvl="0">
      <w:start w:val="1"/>
      <w:numFmt w:val="bullet"/>
      <w:lvlText w:val=""/>
      <w:lvlJc w:val="left"/>
      <w:pPr>
        <w:tabs>
          <w:tab w:val="left" w:pos="720"/>
        </w:tabs>
        <w:ind w:left="720" w:hanging="360"/>
      </w:pPr>
      <w:rPr>
        <w:rFonts w:hint="default" w:ascii="Symbol" w:hAnsi="Symbol"/>
        <w:sz w:val="20"/>
      </w:rPr>
    </w:lvl>
    <w:lvl w:ilvl="1">
      <w:start w:val="1"/>
      <w:numFmt w:val="bullet"/>
      <w:lvlText w:val="o"/>
      <w:lvlJc w:val="left"/>
      <w:pPr>
        <w:tabs>
          <w:tab w:val="left" w:pos="1440"/>
        </w:tabs>
        <w:ind w:left="1440" w:hanging="360"/>
      </w:pPr>
      <w:rPr>
        <w:rFonts w:hint="default" w:ascii="Courier New" w:hAnsi="Courier New"/>
        <w:sz w:val="20"/>
      </w:rPr>
    </w:lvl>
    <w:lvl w:ilvl="2">
      <w:start w:val="1"/>
      <w:numFmt w:val="bullet"/>
      <w:lvlText w:val=""/>
      <w:lvlJc w:val="left"/>
      <w:pPr>
        <w:tabs>
          <w:tab w:val="left" w:pos="2160"/>
        </w:tabs>
        <w:ind w:left="2160" w:hanging="360"/>
      </w:pPr>
      <w:rPr>
        <w:rFonts w:hint="default" w:ascii="Wingdings" w:hAnsi="Wingdings"/>
        <w:sz w:val="20"/>
      </w:rPr>
    </w:lvl>
    <w:lvl w:ilvl="3">
      <w:start w:val="1"/>
      <w:numFmt w:val="bullet"/>
      <w:lvlText w:val=""/>
      <w:lvlJc w:val="left"/>
      <w:pPr>
        <w:tabs>
          <w:tab w:val="left" w:pos="2880"/>
        </w:tabs>
        <w:ind w:left="2880" w:hanging="360"/>
      </w:pPr>
      <w:rPr>
        <w:rFonts w:hint="default" w:ascii="Wingdings" w:hAnsi="Wingdings"/>
        <w:sz w:val="20"/>
      </w:rPr>
    </w:lvl>
    <w:lvl w:ilvl="4">
      <w:start w:val="1"/>
      <w:numFmt w:val="bullet"/>
      <w:lvlText w:val=""/>
      <w:lvlJc w:val="left"/>
      <w:pPr>
        <w:tabs>
          <w:tab w:val="left" w:pos="3600"/>
        </w:tabs>
        <w:ind w:left="3600" w:hanging="360"/>
      </w:pPr>
      <w:rPr>
        <w:rFonts w:hint="default" w:ascii="Wingdings" w:hAnsi="Wingdings"/>
        <w:sz w:val="20"/>
      </w:rPr>
    </w:lvl>
    <w:lvl w:ilvl="5">
      <w:start w:val="1"/>
      <w:numFmt w:val="bullet"/>
      <w:lvlText w:val=""/>
      <w:lvlJc w:val="left"/>
      <w:pPr>
        <w:tabs>
          <w:tab w:val="left" w:pos="4320"/>
        </w:tabs>
        <w:ind w:left="4320" w:hanging="360"/>
      </w:pPr>
      <w:rPr>
        <w:rFonts w:hint="default" w:ascii="Wingdings" w:hAnsi="Wingdings"/>
        <w:sz w:val="20"/>
      </w:rPr>
    </w:lvl>
    <w:lvl w:ilvl="6">
      <w:start w:val="1"/>
      <w:numFmt w:val="bullet"/>
      <w:lvlText w:val=""/>
      <w:lvlJc w:val="left"/>
      <w:pPr>
        <w:tabs>
          <w:tab w:val="left" w:pos="5040"/>
        </w:tabs>
        <w:ind w:left="5040" w:hanging="360"/>
      </w:pPr>
      <w:rPr>
        <w:rFonts w:hint="default" w:ascii="Wingdings" w:hAnsi="Wingdings"/>
        <w:sz w:val="20"/>
      </w:rPr>
    </w:lvl>
    <w:lvl w:ilvl="7">
      <w:start w:val="1"/>
      <w:numFmt w:val="bullet"/>
      <w:lvlText w:val=""/>
      <w:lvlJc w:val="left"/>
      <w:pPr>
        <w:tabs>
          <w:tab w:val="left" w:pos="5760"/>
        </w:tabs>
        <w:ind w:left="5760" w:hanging="360"/>
      </w:pPr>
      <w:rPr>
        <w:rFonts w:hint="default" w:ascii="Wingdings" w:hAnsi="Wingdings"/>
        <w:sz w:val="20"/>
      </w:rPr>
    </w:lvl>
    <w:lvl w:ilvl="8">
      <w:start w:val="1"/>
      <w:numFmt w:val="bullet"/>
      <w:lvlText w:val=""/>
      <w:lvlJc w:val="left"/>
      <w:pPr>
        <w:tabs>
          <w:tab w:val="left" w:pos="6480"/>
        </w:tabs>
        <w:ind w:left="6480" w:hanging="360"/>
      </w:pPr>
      <w:rPr>
        <w:rFonts w:hint="default" w:ascii="Wingdings" w:hAnsi="Wingdings"/>
        <w:sz w:val="20"/>
      </w:rPr>
    </w:lvl>
  </w:abstractNum>
  <w:abstractNum w:abstractNumId="20" w15:restartNumberingAfterBreak="0">
    <w:nsid w:val="2696BDD1"/>
    <w:multiLevelType w:val="multilevel"/>
    <w:tmpl w:val="2696BDD1"/>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21" w15:restartNumberingAfterBreak="0">
    <w:nsid w:val="2F823CFF"/>
    <w:multiLevelType w:val="multilevel"/>
    <w:tmpl w:val="2F823CFF"/>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342889"/>
    <w:multiLevelType w:val="multilevel"/>
    <w:tmpl w:val="31342889"/>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23" w15:restartNumberingAfterBreak="0">
    <w:nsid w:val="32EF66FD"/>
    <w:multiLevelType w:val="multilevel"/>
    <w:tmpl w:val="32EF66FD"/>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24" w15:restartNumberingAfterBreak="0">
    <w:nsid w:val="3709F4F4"/>
    <w:multiLevelType w:val="multilevel"/>
    <w:tmpl w:val="3709F4F4"/>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25" w15:restartNumberingAfterBreak="0">
    <w:nsid w:val="392907CA"/>
    <w:multiLevelType w:val="multilevel"/>
    <w:tmpl w:val="392907CA"/>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26" w15:restartNumberingAfterBreak="0">
    <w:nsid w:val="3AF7675F"/>
    <w:multiLevelType w:val="multilevel"/>
    <w:tmpl w:val="3AF7675F"/>
    <w:lvl w:ilvl="0">
      <w:start w:val="1"/>
      <w:numFmt w:val="bullet"/>
      <w:lvlText w:val=""/>
      <w:lvlJc w:val="left"/>
      <w:pPr>
        <w:tabs>
          <w:tab w:val="left" w:pos="720"/>
        </w:tabs>
        <w:ind w:left="720" w:hanging="360"/>
      </w:pPr>
      <w:rPr>
        <w:rFonts w:hint="default" w:ascii="Symbol" w:hAnsi="Symbol"/>
        <w:sz w:val="20"/>
      </w:rPr>
    </w:lvl>
    <w:lvl w:ilvl="1">
      <w:start w:val="1"/>
      <w:numFmt w:val="bullet"/>
      <w:lvlText w:val="o"/>
      <w:lvlJc w:val="left"/>
      <w:pPr>
        <w:tabs>
          <w:tab w:val="left" w:pos="1440"/>
        </w:tabs>
        <w:ind w:left="1440" w:hanging="360"/>
      </w:pPr>
      <w:rPr>
        <w:rFonts w:hint="default" w:ascii="Courier New" w:hAnsi="Courier New"/>
        <w:sz w:val="20"/>
      </w:rPr>
    </w:lvl>
    <w:lvl w:ilvl="2">
      <w:start w:val="1"/>
      <w:numFmt w:val="bullet"/>
      <w:lvlText w:val=""/>
      <w:lvlJc w:val="left"/>
      <w:pPr>
        <w:tabs>
          <w:tab w:val="left" w:pos="2160"/>
        </w:tabs>
        <w:ind w:left="2160" w:hanging="360"/>
      </w:pPr>
      <w:rPr>
        <w:rFonts w:hint="default" w:ascii="Wingdings" w:hAnsi="Wingdings"/>
        <w:sz w:val="20"/>
      </w:rPr>
    </w:lvl>
    <w:lvl w:ilvl="3">
      <w:start w:val="1"/>
      <w:numFmt w:val="bullet"/>
      <w:lvlText w:val=""/>
      <w:lvlJc w:val="left"/>
      <w:pPr>
        <w:tabs>
          <w:tab w:val="left" w:pos="2880"/>
        </w:tabs>
        <w:ind w:left="2880" w:hanging="360"/>
      </w:pPr>
      <w:rPr>
        <w:rFonts w:hint="default" w:ascii="Wingdings" w:hAnsi="Wingdings"/>
        <w:sz w:val="20"/>
      </w:rPr>
    </w:lvl>
    <w:lvl w:ilvl="4">
      <w:start w:val="1"/>
      <w:numFmt w:val="bullet"/>
      <w:lvlText w:val=""/>
      <w:lvlJc w:val="left"/>
      <w:pPr>
        <w:tabs>
          <w:tab w:val="left" w:pos="3600"/>
        </w:tabs>
        <w:ind w:left="3600" w:hanging="360"/>
      </w:pPr>
      <w:rPr>
        <w:rFonts w:hint="default" w:ascii="Wingdings" w:hAnsi="Wingdings"/>
        <w:sz w:val="20"/>
      </w:rPr>
    </w:lvl>
    <w:lvl w:ilvl="5">
      <w:start w:val="1"/>
      <w:numFmt w:val="bullet"/>
      <w:lvlText w:val=""/>
      <w:lvlJc w:val="left"/>
      <w:pPr>
        <w:tabs>
          <w:tab w:val="left" w:pos="4320"/>
        </w:tabs>
        <w:ind w:left="4320" w:hanging="360"/>
      </w:pPr>
      <w:rPr>
        <w:rFonts w:hint="default" w:ascii="Wingdings" w:hAnsi="Wingdings"/>
        <w:sz w:val="20"/>
      </w:rPr>
    </w:lvl>
    <w:lvl w:ilvl="6">
      <w:start w:val="1"/>
      <w:numFmt w:val="bullet"/>
      <w:lvlText w:val=""/>
      <w:lvlJc w:val="left"/>
      <w:pPr>
        <w:tabs>
          <w:tab w:val="left" w:pos="5040"/>
        </w:tabs>
        <w:ind w:left="5040" w:hanging="360"/>
      </w:pPr>
      <w:rPr>
        <w:rFonts w:hint="default" w:ascii="Wingdings" w:hAnsi="Wingdings"/>
        <w:sz w:val="20"/>
      </w:rPr>
    </w:lvl>
    <w:lvl w:ilvl="7">
      <w:start w:val="1"/>
      <w:numFmt w:val="bullet"/>
      <w:lvlText w:val=""/>
      <w:lvlJc w:val="left"/>
      <w:pPr>
        <w:tabs>
          <w:tab w:val="left" w:pos="5760"/>
        </w:tabs>
        <w:ind w:left="5760" w:hanging="360"/>
      </w:pPr>
      <w:rPr>
        <w:rFonts w:hint="default" w:ascii="Wingdings" w:hAnsi="Wingdings"/>
        <w:sz w:val="20"/>
      </w:rPr>
    </w:lvl>
    <w:lvl w:ilvl="8">
      <w:start w:val="1"/>
      <w:numFmt w:val="bullet"/>
      <w:lvlText w:val=""/>
      <w:lvlJc w:val="left"/>
      <w:pPr>
        <w:tabs>
          <w:tab w:val="left" w:pos="6480"/>
        </w:tabs>
        <w:ind w:left="6480" w:hanging="360"/>
      </w:pPr>
      <w:rPr>
        <w:rFonts w:hint="default" w:ascii="Wingdings" w:hAnsi="Wingdings"/>
        <w:sz w:val="20"/>
      </w:rPr>
    </w:lvl>
  </w:abstractNum>
  <w:abstractNum w:abstractNumId="27" w15:restartNumberingAfterBreak="0">
    <w:nsid w:val="405115AF"/>
    <w:multiLevelType w:val="multilevel"/>
    <w:tmpl w:val="405115AF"/>
    <w:lvl w:ilvl="0">
      <w:start w:val="1"/>
      <w:numFmt w:val="bullet"/>
      <w:lvlText w:val=""/>
      <w:lvlJc w:val="left"/>
      <w:pPr>
        <w:tabs>
          <w:tab w:val="left" w:pos="720"/>
        </w:tabs>
        <w:ind w:left="720" w:hanging="360"/>
      </w:pPr>
      <w:rPr>
        <w:rFonts w:hint="default" w:ascii="Symbol" w:hAnsi="Symbol"/>
        <w:sz w:val="20"/>
      </w:rPr>
    </w:lvl>
    <w:lvl w:ilvl="1">
      <w:start w:val="1"/>
      <w:numFmt w:val="bullet"/>
      <w:lvlText w:val="o"/>
      <w:lvlJc w:val="left"/>
      <w:pPr>
        <w:tabs>
          <w:tab w:val="left" w:pos="1440"/>
        </w:tabs>
        <w:ind w:left="1440" w:hanging="360"/>
      </w:pPr>
      <w:rPr>
        <w:rFonts w:hint="default" w:ascii="Courier New" w:hAnsi="Courier New"/>
        <w:sz w:val="20"/>
      </w:rPr>
    </w:lvl>
    <w:lvl w:ilvl="2">
      <w:start w:val="1"/>
      <w:numFmt w:val="bullet"/>
      <w:lvlText w:val=""/>
      <w:lvlJc w:val="left"/>
      <w:pPr>
        <w:tabs>
          <w:tab w:val="left" w:pos="2160"/>
        </w:tabs>
        <w:ind w:left="2160" w:hanging="360"/>
      </w:pPr>
      <w:rPr>
        <w:rFonts w:hint="default" w:ascii="Wingdings" w:hAnsi="Wingdings"/>
        <w:sz w:val="20"/>
      </w:rPr>
    </w:lvl>
    <w:lvl w:ilvl="3">
      <w:start w:val="1"/>
      <w:numFmt w:val="bullet"/>
      <w:lvlText w:val=""/>
      <w:lvlJc w:val="left"/>
      <w:pPr>
        <w:tabs>
          <w:tab w:val="left" w:pos="2880"/>
        </w:tabs>
        <w:ind w:left="2880" w:hanging="360"/>
      </w:pPr>
      <w:rPr>
        <w:rFonts w:hint="default" w:ascii="Wingdings" w:hAnsi="Wingdings"/>
        <w:sz w:val="20"/>
      </w:rPr>
    </w:lvl>
    <w:lvl w:ilvl="4">
      <w:start w:val="1"/>
      <w:numFmt w:val="bullet"/>
      <w:lvlText w:val=""/>
      <w:lvlJc w:val="left"/>
      <w:pPr>
        <w:tabs>
          <w:tab w:val="left" w:pos="3600"/>
        </w:tabs>
        <w:ind w:left="3600" w:hanging="360"/>
      </w:pPr>
      <w:rPr>
        <w:rFonts w:hint="default" w:ascii="Wingdings" w:hAnsi="Wingdings"/>
        <w:sz w:val="20"/>
      </w:rPr>
    </w:lvl>
    <w:lvl w:ilvl="5">
      <w:start w:val="1"/>
      <w:numFmt w:val="bullet"/>
      <w:lvlText w:val=""/>
      <w:lvlJc w:val="left"/>
      <w:pPr>
        <w:tabs>
          <w:tab w:val="left" w:pos="4320"/>
        </w:tabs>
        <w:ind w:left="4320" w:hanging="360"/>
      </w:pPr>
      <w:rPr>
        <w:rFonts w:hint="default" w:ascii="Wingdings" w:hAnsi="Wingdings"/>
        <w:sz w:val="20"/>
      </w:rPr>
    </w:lvl>
    <w:lvl w:ilvl="6">
      <w:start w:val="1"/>
      <w:numFmt w:val="bullet"/>
      <w:lvlText w:val=""/>
      <w:lvlJc w:val="left"/>
      <w:pPr>
        <w:tabs>
          <w:tab w:val="left" w:pos="5040"/>
        </w:tabs>
        <w:ind w:left="5040" w:hanging="360"/>
      </w:pPr>
      <w:rPr>
        <w:rFonts w:hint="default" w:ascii="Wingdings" w:hAnsi="Wingdings"/>
        <w:sz w:val="20"/>
      </w:rPr>
    </w:lvl>
    <w:lvl w:ilvl="7">
      <w:start w:val="1"/>
      <w:numFmt w:val="bullet"/>
      <w:lvlText w:val=""/>
      <w:lvlJc w:val="left"/>
      <w:pPr>
        <w:tabs>
          <w:tab w:val="left" w:pos="5760"/>
        </w:tabs>
        <w:ind w:left="5760" w:hanging="360"/>
      </w:pPr>
      <w:rPr>
        <w:rFonts w:hint="default" w:ascii="Wingdings" w:hAnsi="Wingdings"/>
        <w:sz w:val="20"/>
      </w:rPr>
    </w:lvl>
    <w:lvl w:ilvl="8">
      <w:start w:val="1"/>
      <w:numFmt w:val="bullet"/>
      <w:lvlText w:val=""/>
      <w:lvlJc w:val="left"/>
      <w:pPr>
        <w:tabs>
          <w:tab w:val="left" w:pos="6480"/>
        </w:tabs>
        <w:ind w:left="6480" w:hanging="360"/>
      </w:pPr>
      <w:rPr>
        <w:rFonts w:hint="default" w:ascii="Wingdings" w:hAnsi="Wingdings"/>
        <w:sz w:val="20"/>
      </w:rPr>
    </w:lvl>
  </w:abstractNum>
  <w:abstractNum w:abstractNumId="28" w15:restartNumberingAfterBreak="0">
    <w:nsid w:val="41B73A9C"/>
    <w:multiLevelType w:val="multilevel"/>
    <w:tmpl w:val="41B73A9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30C1BEE"/>
    <w:multiLevelType w:val="multilevel"/>
    <w:tmpl w:val="430C1BEE"/>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30" w15:restartNumberingAfterBreak="0">
    <w:nsid w:val="47AEB9A4"/>
    <w:multiLevelType w:val="multilevel"/>
    <w:tmpl w:val="47AEB9A4"/>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31" w15:restartNumberingAfterBreak="0">
    <w:nsid w:val="47CD8128"/>
    <w:multiLevelType w:val="multilevel"/>
    <w:tmpl w:val="47CD8128"/>
    <w:lvl w:ilvl="0">
      <w:start w:val="1"/>
      <w:numFmt w:val="bullet"/>
      <w:lvlText w:val="o"/>
      <w:lvlJc w:val="left"/>
      <w:pPr>
        <w:ind w:left="1080" w:hanging="360"/>
      </w:pPr>
      <w:rPr>
        <w:rFonts w:hint="default" w:ascii="Courier New" w:hAnsi="Courier New"/>
      </w:rPr>
    </w:lvl>
    <w:lvl w:ilvl="1">
      <w:start w:val="1"/>
      <w:numFmt w:val="bullet"/>
      <w:lvlText w:val="o"/>
      <w:lvlJc w:val="left"/>
      <w:pPr>
        <w:ind w:left="1800" w:hanging="360"/>
      </w:pPr>
      <w:rPr>
        <w:rFonts w:hint="default" w:ascii="Courier New" w:hAnsi="Courier New"/>
      </w:rPr>
    </w:lvl>
    <w:lvl w:ilvl="2">
      <w:start w:val="1"/>
      <w:numFmt w:val="bullet"/>
      <w:lvlText w:val=""/>
      <w:lvlJc w:val="left"/>
      <w:pPr>
        <w:ind w:left="2520" w:hanging="360"/>
      </w:pPr>
      <w:rPr>
        <w:rFonts w:hint="default" w:ascii="Wingdings" w:hAnsi="Wingdings"/>
      </w:rPr>
    </w:lvl>
    <w:lvl w:ilvl="3">
      <w:start w:val="1"/>
      <w:numFmt w:val="bullet"/>
      <w:lvlText w:val=""/>
      <w:lvlJc w:val="left"/>
      <w:pPr>
        <w:ind w:left="3240" w:hanging="360"/>
      </w:pPr>
      <w:rPr>
        <w:rFonts w:hint="default" w:ascii="Symbol" w:hAnsi="Symbol"/>
      </w:rPr>
    </w:lvl>
    <w:lvl w:ilvl="4">
      <w:start w:val="1"/>
      <w:numFmt w:val="bullet"/>
      <w:lvlText w:val="o"/>
      <w:lvlJc w:val="left"/>
      <w:pPr>
        <w:ind w:left="3960" w:hanging="360"/>
      </w:pPr>
      <w:rPr>
        <w:rFonts w:hint="default" w:ascii="Courier New" w:hAnsi="Courier New"/>
      </w:rPr>
    </w:lvl>
    <w:lvl w:ilvl="5">
      <w:start w:val="1"/>
      <w:numFmt w:val="bullet"/>
      <w:lvlText w:val=""/>
      <w:lvlJc w:val="left"/>
      <w:pPr>
        <w:ind w:left="4680" w:hanging="360"/>
      </w:pPr>
      <w:rPr>
        <w:rFonts w:hint="default" w:ascii="Wingdings" w:hAnsi="Wingdings"/>
      </w:rPr>
    </w:lvl>
    <w:lvl w:ilvl="6">
      <w:start w:val="1"/>
      <w:numFmt w:val="bullet"/>
      <w:lvlText w:val=""/>
      <w:lvlJc w:val="left"/>
      <w:pPr>
        <w:ind w:left="5400" w:hanging="360"/>
      </w:pPr>
      <w:rPr>
        <w:rFonts w:hint="default" w:ascii="Symbol" w:hAnsi="Symbol"/>
      </w:rPr>
    </w:lvl>
    <w:lvl w:ilvl="7">
      <w:start w:val="1"/>
      <w:numFmt w:val="bullet"/>
      <w:lvlText w:val="o"/>
      <w:lvlJc w:val="left"/>
      <w:pPr>
        <w:ind w:left="6120" w:hanging="360"/>
      </w:pPr>
      <w:rPr>
        <w:rFonts w:hint="default" w:ascii="Courier New" w:hAnsi="Courier New"/>
      </w:rPr>
    </w:lvl>
    <w:lvl w:ilvl="8">
      <w:start w:val="1"/>
      <w:numFmt w:val="bullet"/>
      <w:lvlText w:val=""/>
      <w:lvlJc w:val="left"/>
      <w:pPr>
        <w:ind w:left="6840" w:hanging="360"/>
      </w:pPr>
      <w:rPr>
        <w:rFonts w:hint="default" w:ascii="Wingdings" w:hAnsi="Wingdings"/>
      </w:rPr>
    </w:lvl>
  </w:abstractNum>
  <w:abstractNum w:abstractNumId="32" w15:restartNumberingAfterBreak="0">
    <w:nsid w:val="48C0F356"/>
    <w:multiLevelType w:val="multilevel"/>
    <w:tmpl w:val="48C0F356"/>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33" w15:restartNumberingAfterBreak="0">
    <w:nsid w:val="4D54D8FE"/>
    <w:multiLevelType w:val="multilevel"/>
    <w:tmpl w:val="4D54D8FE"/>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34" w15:restartNumberingAfterBreak="0">
    <w:nsid w:val="4D810987"/>
    <w:multiLevelType w:val="multilevel"/>
    <w:tmpl w:val="4D810987"/>
    <w:lvl w:ilvl="0">
      <w:start w:val="1"/>
      <w:numFmt w:val="decimal"/>
      <w:lvlText w:val="%1."/>
      <w:lvlJc w:val="left"/>
      <w:pPr>
        <w:tabs>
          <w:tab w:val="left" w:pos="720"/>
        </w:tabs>
        <w:ind w:left="720" w:hanging="360"/>
      </w:pPr>
    </w:lvl>
    <w:lvl w:ilvl="1">
      <w:start w:val="1"/>
      <w:numFmt w:val="bullet"/>
      <w:lvlText w:val="o"/>
      <w:lvlJc w:val="left"/>
      <w:pPr>
        <w:tabs>
          <w:tab w:val="left" w:pos="1440"/>
        </w:tabs>
        <w:ind w:left="1440" w:hanging="360"/>
      </w:pPr>
      <w:rPr>
        <w:rFonts w:hint="default" w:ascii="Courier New" w:hAnsi="Courier New"/>
        <w:sz w:val="2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5" w15:restartNumberingAfterBreak="0">
    <w:nsid w:val="528457EF"/>
    <w:multiLevelType w:val="multilevel"/>
    <w:tmpl w:val="528457EF"/>
    <w:lvl w:ilvl="0">
      <w:start w:val="1"/>
      <w:numFmt w:val="bullet"/>
      <w:lvlText w:val=""/>
      <w:lvlJc w:val="left"/>
      <w:pPr>
        <w:tabs>
          <w:tab w:val="left" w:pos="720"/>
        </w:tabs>
        <w:ind w:left="720" w:hanging="360"/>
      </w:pPr>
      <w:rPr>
        <w:rFonts w:hint="default" w:ascii="Symbol" w:hAnsi="Symbol"/>
        <w:sz w:val="20"/>
      </w:rPr>
    </w:lvl>
    <w:lvl w:ilvl="1">
      <w:start w:val="1"/>
      <w:numFmt w:val="bullet"/>
      <w:lvlText w:val="o"/>
      <w:lvlJc w:val="left"/>
      <w:pPr>
        <w:tabs>
          <w:tab w:val="left" w:pos="1440"/>
        </w:tabs>
        <w:ind w:left="1440" w:hanging="360"/>
      </w:pPr>
      <w:rPr>
        <w:rFonts w:hint="default" w:ascii="Courier New" w:hAnsi="Courier New"/>
        <w:sz w:val="20"/>
      </w:rPr>
    </w:lvl>
    <w:lvl w:ilvl="2">
      <w:start w:val="1"/>
      <w:numFmt w:val="bullet"/>
      <w:lvlText w:val=""/>
      <w:lvlJc w:val="left"/>
      <w:pPr>
        <w:tabs>
          <w:tab w:val="left" w:pos="2160"/>
        </w:tabs>
        <w:ind w:left="2160" w:hanging="360"/>
      </w:pPr>
      <w:rPr>
        <w:rFonts w:hint="default" w:ascii="Wingdings" w:hAnsi="Wingdings"/>
        <w:sz w:val="20"/>
      </w:rPr>
    </w:lvl>
    <w:lvl w:ilvl="3">
      <w:start w:val="1"/>
      <w:numFmt w:val="bullet"/>
      <w:lvlText w:val=""/>
      <w:lvlJc w:val="left"/>
      <w:pPr>
        <w:tabs>
          <w:tab w:val="left" w:pos="2880"/>
        </w:tabs>
        <w:ind w:left="2880" w:hanging="360"/>
      </w:pPr>
      <w:rPr>
        <w:rFonts w:hint="default" w:ascii="Wingdings" w:hAnsi="Wingdings"/>
        <w:sz w:val="20"/>
      </w:rPr>
    </w:lvl>
    <w:lvl w:ilvl="4">
      <w:start w:val="1"/>
      <w:numFmt w:val="bullet"/>
      <w:lvlText w:val=""/>
      <w:lvlJc w:val="left"/>
      <w:pPr>
        <w:tabs>
          <w:tab w:val="left" w:pos="3600"/>
        </w:tabs>
        <w:ind w:left="3600" w:hanging="360"/>
      </w:pPr>
      <w:rPr>
        <w:rFonts w:hint="default" w:ascii="Wingdings" w:hAnsi="Wingdings"/>
        <w:sz w:val="20"/>
      </w:rPr>
    </w:lvl>
    <w:lvl w:ilvl="5">
      <w:start w:val="1"/>
      <w:numFmt w:val="bullet"/>
      <w:lvlText w:val=""/>
      <w:lvlJc w:val="left"/>
      <w:pPr>
        <w:tabs>
          <w:tab w:val="left" w:pos="4320"/>
        </w:tabs>
        <w:ind w:left="4320" w:hanging="360"/>
      </w:pPr>
      <w:rPr>
        <w:rFonts w:hint="default" w:ascii="Wingdings" w:hAnsi="Wingdings"/>
        <w:sz w:val="20"/>
      </w:rPr>
    </w:lvl>
    <w:lvl w:ilvl="6">
      <w:start w:val="1"/>
      <w:numFmt w:val="bullet"/>
      <w:lvlText w:val=""/>
      <w:lvlJc w:val="left"/>
      <w:pPr>
        <w:tabs>
          <w:tab w:val="left" w:pos="5040"/>
        </w:tabs>
        <w:ind w:left="5040" w:hanging="360"/>
      </w:pPr>
      <w:rPr>
        <w:rFonts w:hint="default" w:ascii="Wingdings" w:hAnsi="Wingdings"/>
        <w:sz w:val="20"/>
      </w:rPr>
    </w:lvl>
    <w:lvl w:ilvl="7">
      <w:start w:val="1"/>
      <w:numFmt w:val="bullet"/>
      <w:lvlText w:val=""/>
      <w:lvlJc w:val="left"/>
      <w:pPr>
        <w:tabs>
          <w:tab w:val="left" w:pos="5760"/>
        </w:tabs>
        <w:ind w:left="5760" w:hanging="360"/>
      </w:pPr>
      <w:rPr>
        <w:rFonts w:hint="default" w:ascii="Wingdings" w:hAnsi="Wingdings"/>
        <w:sz w:val="20"/>
      </w:rPr>
    </w:lvl>
    <w:lvl w:ilvl="8">
      <w:start w:val="1"/>
      <w:numFmt w:val="bullet"/>
      <w:lvlText w:val=""/>
      <w:lvlJc w:val="left"/>
      <w:pPr>
        <w:tabs>
          <w:tab w:val="left" w:pos="6480"/>
        </w:tabs>
        <w:ind w:left="6480" w:hanging="360"/>
      </w:pPr>
      <w:rPr>
        <w:rFonts w:hint="default" w:ascii="Wingdings" w:hAnsi="Wingdings"/>
        <w:sz w:val="20"/>
      </w:rPr>
    </w:lvl>
  </w:abstractNum>
  <w:abstractNum w:abstractNumId="36" w15:restartNumberingAfterBreak="0">
    <w:nsid w:val="54595B52"/>
    <w:multiLevelType w:val="multilevel"/>
    <w:tmpl w:val="54595B52"/>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37" w15:restartNumberingAfterBreak="0">
    <w:nsid w:val="5FF7B5BE"/>
    <w:multiLevelType w:val="multilevel"/>
    <w:tmpl w:val="5FF7B5BE"/>
    <w:lvl w:ilvl="0">
      <w:start w:val="1"/>
      <w:numFmt w:val="bullet"/>
      <w:lvlText w:val="o"/>
      <w:lvlJc w:val="left"/>
      <w:pPr>
        <w:ind w:left="1080" w:hanging="360"/>
      </w:pPr>
      <w:rPr>
        <w:rFonts w:hint="default" w:ascii="Courier New" w:hAnsi="Courier New"/>
      </w:rPr>
    </w:lvl>
    <w:lvl w:ilvl="1">
      <w:start w:val="1"/>
      <w:numFmt w:val="bullet"/>
      <w:lvlText w:val="o"/>
      <w:lvlJc w:val="left"/>
      <w:pPr>
        <w:ind w:left="1800" w:hanging="360"/>
      </w:pPr>
      <w:rPr>
        <w:rFonts w:hint="default" w:ascii="Courier New" w:hAnsi="Courier New"/>
      </w:rPr>
    </w:lvl>
    <w:lvl w:ilvl="2">
      <w:start w:val="1"/>
      <w:numFmt w:val="bullet"/>
      <w:lvlText w:val=""/>
      <w:lvlJc w:val="left"/>
      <w:pPr>
        <w:ind w:left="2520" w:hanging="360"/>
      </w:pPr>
      <w:rPr>
        <w:rFonts w:hint="default" w:ascii="Wingdings" w:hAnsi="Wingdings"/>
      </w:rPr>
    </w:lvl>
    <w:lvl w:ilvl="3">
      <w:start w:val="1"/>
      <w:numFmt w:val="bullet"/>
      <w:lvlText w:val=""/>
      <w:lvlJc w:val="left"/>
      <w:pPr>
        <w:ind w:left="3240" w:hanging="360"/>
      </w:pPr>
      <w:rPr>
        <w:rFonts w:hint="default" w:ascii="Symbol" w:hAnsi="Symbol"/>
      </w:rPr>
    </w:lvl>
    <w:lvl w:ilvl="4">
      <w:start w:val="1"/>
      <w:numFmt w:val="bullet"/>
      <w:lvlText w:val="o"/>
      <w:lvlJc w:val="left"/>
      <w:pPr>
        <w:ind w:left="3960" w:hanging="360"/>
      </w:pPr>
      <w:rPr>
        <w:rFonts w:hint="default" w:ascii="Courier New" w:hAnsi="Courier New"/>
      </w:rPr>
    </w:lvl>
    <w:lvl w:ilvl="5">
      <w:start w:val="1"/>
      <w:numFmt w:val="bullet"/>
      <w:lvlText w:val=""/>
      <w:lvlJc w:val="left"/>
      <w:pPr>
        <w:ind w:left="4680" w:hanging="360"/>
      </w:pPr>
      <w:rPr>
        <w:rFonts w:hint="default" w:ascii="Wingdings" w:hAnsi="Wingdings"/>
      </w:rPr>
    </w:lvl>
    <w:lvl w:ilvl="6">
      <w:start w:val="1"/>
      <w:numFmt w:val="bullet"/>
      <w:lvlText w:val=""/>
      <w:lvlJc w:val="left"/>
      <w:pPr>
        <w:ind w:left="5400" w:hanging="360"/>
      </w:pPr>
      <w:rPr>
        <w:rFonts w:hint="default" w:ascii="Symbol" w:hAnsi="Symbol"/>
      </w:rPr>
    </w:lvl>
    <w:lvl w:ilvl="7">
      <w:start w:val="1"/>
      <w:numFmt w:val="bullet"/>
      <w:lvlText w:val="o"/>
      <w:lvlJc w:val="left"/>
      <w:pPr>
        <w:ind w:left="6120" w:hanging="360"/>
      </w:pPr>
      <w:rPr>
        <w:rFonts w:hint="default" w:ascii="Courier New" w:hAnsi="Courier New"/>
      </w:rPr>
    </w:lvl>
    <w:lvl w:ilvl="8">
      <w:start w:val="1"/>
      <w:numFmt w:val="bullet"/>
      <w:lvlText w:val=""/>
      <w:lvlJc w:val="left"/>
      <w:pPr>
        <w:ind w:left="6840" w:hanging="360"/>
      </w:pPr>
      <w:rPr>
        <w:rFonts w:hint="default" w:ascii="Wingdings" w:hAnsi="Wingdings"/>
      </w:rPr>
    </w:lvl>
  </w:abstractNum>
  <w:abstractNum w:abstractNumId="38" w15:restartNumberingAfterBreak="0">
    <w:nsid w:val="6167062F"/>
    <w:multiLevelType w:val="multilevel"/>
    <w:tmpl w:val="6167062F"/>
    <w:lvl w:ilvl="0">
      <w:start w:val="1"/>
      <w:numFmt w:val="bullet"/>
      <w:lvlText w:val=""/>
      <w:lvlJc w:val="left"/>
      <w:pPr>
        <w:tabs>
          <w:tab w:val="left" w:pos="720"/>
        </w:tabs>
        <w:ind w:left="720" w:hanging="360"/>
      </w:pPr>
      <w:rPr>
        <w:rFonts w:hint="default" w:ascii="Symbol" w:hAnsi="Symbol"/>
        <w:sz w:val="20"/>
      </w:rPr>
    </w:lvl>
    <w:lvl w:ilvl="1">
      <w:start w:val="1"/>
      <w:numFmt w:val="bullet"/>
      <w:lvlText w:val="o"/>
      <w:lvlJc w:val="left"/>
      <w:pPr>
        <w:tabs>
          <w:tab w:val="left" w:pos="1440"/>
        </w:tabs>
        <w:ind w:left="1440" w:hanging="360"/>
      </w:pPr>
      <w:rPr>
        <w:rFonts w:hint="default" w:ascii="Courier New" w:hAnsi="Courier New"/>
        <w:sz w:val="20"/>
      </w:rPr>
    </w:lvl>
    <w:lvl w:ilvl="2">
      <w:start w:val="1"/>
      <w:numFmt w:val="bullet"/>
      <w:lvlText w:val=""/>
      <w:lvlJc w:val="left"/>
      <w:pPr>
        <w:tabs>
          <w:tab w:val="left" w:pos="2160"/>
        </w:tabs>
        <w:ind w:left="2160" w:hanging="360"/>
      </w:pPr>
      <w:rPr>
        <w:rFonts w:hint="default" w:ascii="Wingdings" w:hAnsi="Wingdings"/>
        <w:sz w:val="20"/>
      </w:rPr>
    </w:lvl>
    <w:lvl w:ilvl="3">
      <w:start w:val="1"/>
      <w:numFmt w:val="bullet"/>
      <w:lvlText w:val=""/>
      <w:lvlJc w:val="left"/>
      <w:pPr>
        <w:tabs>
          <w:tab w:val="left" w:pos="2880"/>
        </w:tabs>
        <w:ind w:left="2880" w:hanging="360"/>
      </w:pPr>
      <w:rPr>
        <w:rFonts w:hint="default" w:ascii="Wingdings" w:hAnsi="Wingdings"/>
        <w:sz w:val="20"/>
      </w:rPr>
    </w:lvl>
    <w:lvl w:ilvl="4">
      <w:start w:val="1"/>
      <w:numFmt w:val="bullet"/>
      <w:lvlText w:val=""/>
      <w:lvlJc w:val="left"/>
      <w:pPr>
        <w:tabs>
          <w:tab w:val="left" w:pos="3600"/>
        </w:tabs>
        <w:ind w:left="3600" w:hanging="360"/>
      </w:pPr>
      <w:rPr>
        <w:rFonts w:hint="default" w:ascii="Wingdings" w:hAnsi="Wingdings"/>
        <w:sz w:val="20"/>
      </w:rPr>
    </w:lvl>
    <w:lvl w:ilvl="5">
      <w:start w:val="1"/>
      <w:numFmt w:val="bullet"/>
      <w:lvlText w:val=""/>
      <w:lvlJc w:val="left"/>
      <w:pPr>
        <w:tabs>
          <w:tab w:val="left" w:pos="4320"/>
        </w:tabs>
        <w:ind w:left="4320" w:hanging="360"/>
      </w:pPr>
      <w:rPr>
        <w:rFonts w:hint="default" w:ascii="Wingdings" w:hAnsi="Wingdings"/>
        <w:sz w:val="20"/>
      </w:rPr>
    </w:lvl>
    <w:lvl w:ilvl="6">
      <w:start w:val="1"/>
      <w:numFmt w:val="bullet"/>
      <w:lvlText w:val=""/>
      <w:lvlJc w:val="left"/>
      <w:pPr>
        <w:tabs>
          <w:tab w:val="left" w:pos="5040"/>
        </w:tabs>
        <w:ind w:left="5040" w:hanging="360"/>
      </w:pPr>
      <w:rPr>
        <w:rFonts w:hint="default" w:ascii="Wingdings" w:hAnsi="Wingdings"/>
        <w:sz w:val="20"/>
      </w:rPr>
    </w:lvl>
    <w:lvl w:ilvl="7">
      <w:start w:val="1"/>
      <w:numFmt w:val="bullet"/>
      <w:lvlText w:val=""/>
      <w:lvlJc w:val="left"/>
      <w:pPr>
        <w:tabs>
          <w:tab w:val="left" w:pos="5760"/>
        </w:tabs>
        <w:ind w:left="5760" w:hanging="360"/>
      </w:pPr>
      <w:rPr>
        <w:rFonts w:hint="default" w:ascii="Wingdings" w:hAnsi="Wingdings"/>
        <w:sz w:val="20"/>
      </w:rPr>
    </w:lvl>
    <w:lvl w:ilvl="8">
      <w:start w:val="1"/>
      <w:numFmt w:val="bullet"/>
      <w:lvlText w:val=""/>
      <w:lvlJc w:val="left"/>
      <w:pPr>
        <w:tabs>
          <w:tab w:val="left" w:pos="6480"/>
        </w:tabs>
        <w:ind w:left="6480" w:hanging="360"/>
      </w:pPr>
      <w:rPr>
        <w:rFonts w:hint="default" w:ascii="Wingdings" w:hAnsi="Wingdings"/>
        <w:sz w:val="20"/>
      </w:rPr>
    </w:lvl>
  </w:abstractNum>
  <w:abstractNum w:abstractNumId="39" w15:restartNumberingAfterBreak="0">
    <w:nsid w:val="62DDD735"/>
    <w:multiLevelType w:val="multilevel"/>
    <w:tmpl w:val="62DDD735"/>
    <w:lvl w:ilvl="0">
      <w:start w:val="1"/>
      <w:numFmt w:val="decimal"/>
      <w:lvlText w:val="%1."/>
      <w:lvlJc w:val="left"/>
      <w:pPr>
        <w:ind w:left="720" w:hanging="360"/>
      </w:pPr>
    </w:lvl>
    <w:lvl w:ilvl="1">
      <w:start w:val="1"/>
      <w:numFmt w:val="bullet"/>
      <w:lvlText w:val="o"/>
      <w:lvlJc w:val="left"/>
      <w:pPr>
        <w:ind w:left="1440" w:hanging="360"/>
      </w:pPr>
      <w:rPr>
        <w:rFonts w:hint="default" w:ascii="Symbol" w:hAnsi="Symbol"/>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68B701DF"/>
    <w:multiLevelType w:val="multilevel"/>
    <w:tmpl w:val="68B701DF"/>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41" w15:restartNumberingAfterBreak="0">
    <w:nsid w:val="6CF464C8"/>
    <w:multiLevelType w:val="multilevel"/>
    <w:tmpl w:val="6CF464C8"/>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42" w15:restartNumberingAfterBreak="0">
    <w:nsid w:val="6E1F1AB0"/>
    <w:multiLevelType w:val="multilevel"/>
    <w:tmpl w:val="6E1F1AB0"/>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43" w15:restartNumberingAfterBreak="0">
    <w:nsid w:val="74FA6B0A"/>
    <w:multiLevelType w:val="multilevel"/>
    <w:tmpl w:val="74FA6B0A"/>
    <w:lvl w:ilvl="0">
      <w:start w:val="1"/>
      <w:numFmt w:val="bullet"/>
      <w:lvlText w:val=""/>
      <w:lvlJc w:val="left"/>
      <w:pPr>
        <w:tabs>
          <w:tab w:val="left" w:pos="720"/>
        </w:tabs>
        <w:ind w:left="720" w:hanging="360"/>
      </w:pPr>
      <w:rPr>
        <w:rFonts w:hint="default" w:ascii="Symbol" w:hAnsi="Symbol"/>
        <w:sz w:val="20"/>
      </w:rPr>
    </w:lvl>
    <w:lvl w:ilvl="1">
      <w:start w:val="1"/>
      <w:numFmt w:val="bullet"/>
      <w:lvlText w:val="o"/>
      <w:lvlJc w:val="left"/>
      <w:pPr>
        <w:tabs>
          <w:tab w:val="left" w:pos="1440"/>
        </w:tabs>
        <w:ind w:left="1440" w:hanging="360"/>
      </w:pPr>
      <w:rPr>
        <w:rFonts w:hint="default" w:ascii="Courier New" w:hAnsi="Courier New"/>
        <w:sz w:val="20"/>
      </w:rPr>
    </w:lvl>
    <w:lvl w:ilvl="2">
      <w:start w:val="1"/>
      <w:numFmt w:val="bullet"/>
      <w:lvlText w:val=""/>
      <w:lvlJc w:val="left"/>
      <w:pPr>
        <w:tabs>
          <w:tab w:val="left" w:pos="2160"/>
        </w:tabs>
        <w:ind w:left="2160" w:hanging="360"/>
      </w:pPr>
      <w:rPr>
        <w:rFonts w:hint="default" w:ascii="Wingdings" w:hAnsi="Wingdings"/>
        <w:sz w:val="20"/>
      </w:rPr>
    </w:lvl>
    <w:lvl w:ilvl="3">
      <w:start w:val="1"/>
      <w:numFmt w:val="bullet"/>
      <w:lvlText w:val=""/>
      <w:lvlJc w:val="left"/>
      <w:pPr>
        <w:tabs>
          <w:tab w:val="left" w:pos="2880"/>
        </w:tabs>
        <w:ind w:left="2880" w:hanging="360"/>
      </w:pPr>
      <w:rPr>
        <w:rFonts w:hint="default" w:ascii="Wingdings" w:hAnsi="Wingdings"/>
        <w:sz w:val="20"/>
      </w:rPr>
    </w:lvl>
    <w:lvl w:ilvl="4">
      <w:start w:val="1"/>
      <w:numFmt w:val="bullet"/>
      <w:lvlText w:val=""/>
      <w:lvlJc w:val="left"/>
      <w:pPr>
        <w:tabs>
          <w:tab w:val="left" w:pos="3600"/>
        </w:tabs>
        <w:ind w:left="3600" w:hanging="360"/>
      </w:pPr>
      <w:rPr>
        <w:rFonts w:hint="default" w:ascii="Wingdings" w:hAnsi="Wingdings"/>
        <w:sz w:val="20"/>
      </w:rPr>
    </w:lvl>
    <w:lvl w:ilvl="5">
      <w:start w:val="1"/>
      <w:numFmt w:val="bullet"/>
      <w:lvlText w:val=""/>
      <w:lvlJc w:val="left"/>
      <w:pPr>
        <w:tabs>
          <w:tab w:val="left" w:pos="4320"/>
        </w:tabs>
        <w:ind w:left="4320" w:hanging="360"/>
      </w:pPr>
      <w:rPr>
        <w:rFonts w:hint="default" w:ascii="Wingdings" w:hAnsi="Wingdings"/>
        <w:sz w:val="20"/>
      </w:rPr>
    </w:lvl>
    <w:lvl w:ilvl="6">
      <w:start w:val="1"/>
      <w:numFmt w:val="bullet"/>
      <w:lvlText w:val=""/>
      <w:lvlJc w:val="left"/>
      <w:pPr>
        <w:tabs>
          <w:tab w:val="left" w:pos="5040"/>
        </w:tabs>
        <w:ind w:left="5040" w:hanging="360"/>
      </w:pPr>
      <w:rPr>
        <w:rFonts w:hint="default" w:ascii="Wingdings" w:hAnsi="Wingdings"/>
        <w:sz w:val="20"/>
      </w:rPr>
    </w:lvl>
    <w:lvl w:ilvl="7">
      <w:start w:val="1"/>
      <w:numFmt w:val="bullet"/>
      <w:lvlText w:val=""/>
      <w:lvlJc w:val="left"/>
      <w:pPr>
        <w:tabs>
          <w:tab w:val="left" w:pos="5760"/>
        </w:tabs>
        <w:ind w:left="5760" w:hanging="360"/>
      </w:pPr>
      <w:rPr>
        <w:rFonts w:hint="default" w:ascii="Wingdings" w:hAnsi="Wingdings"/>
        <w:sz w:val="20"/>
      </w:rPr>
    </w:lvl>
    <w:lvl w:ilvl="8">
      <w:start w:val="1"/>
      <w:numFmt w:val="bullet"/>
      <w:lvlText w:val=""/>
      <w:lvlJc w:val="left"/>
      <w:pPr>
        <w:tabs>
          <w:tab w:val="left" w:pos="6480"/>
        </w:tabs>
        <w:ind w:left="6480" w:hanging="360"/>
      </w:pPr>
      <w:rPr>
        <w:rFonts w:hint="default" w:ascii="Wingdings" w:hAnsi="Wingdings"/>
        <w:sz w:val="20"/>
      </w:rPr>
    </w:lvl>
  </w:abstractNum>
  <w:abstractNum w:abstractNumId="44" w15:restartNumberingAfterBreak="0">
    <w:nsid w:val="7A87AB21"/>
    <w:multiLevelType w:val="multilevel"/>
    <w:tmpl w:val="7A87AB21"/>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45" w15:restartNumberingAfterBreak="0">
    <w:nsid w:val="7B61425C"/>
    <w:multiLevelType w:val="multilevel"/>
    <w:tmpl w:val="7B61425C"/>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46" w15:restartNumberingAfterBreak="0">
    <w:nsid w:val="7F13B3A6"/>
    <w:multiLevelType w:val="multilevel"/>
    <w:tmpl w:val="7F13B3A6"/>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num w:numId="1" w16cid:durableId="141582142">
    <w:abstractNumId w:val="1"/>
  </w:num>
  <w:num w:numId="2" w16cid:durableId="1749571067">
    <w:abstractNumId w:val="0"/>
  </w:num>
  <w:num w:numId="3" w16cid:durableId="1887451897">
    <w:abstractNumId w:val="4"/>
  </w:num>
  <w:num w:numId="4" w16cid:durableId="584194264">
    <w:abstractNumId w:val="2"/>
  </w:num>
  <w:num w:numId="5" w16cid:durableId="1529831234">
    <w:abstractNumId w:val="5"/>
  </w:num>
  <w:num w:numId="6" w16cid:durableId="775369477">
    <w:abstractNumId w:val="3"/>
  </w:num>
  <w:num w:numId="7" w16cid:durableId="1514030957">
    <w:abstractNumId w:val="21"/>
  </w:num>
  <w:num w:numId="8" w16cid:durableId="1271426098">
    <w:abstractNumId w:val="34"/>
  </w:num>
  <w:num w:numId="9" w16cid:durableId="715927696">
    <w:abstractNumId w:val="26"/>
  </w:num>
  <w:num w:numId="10" w16cid:durableId="19938464">
    <w:abstractNumId w:val="43"/>
  </w:num>
  <w:num w:numId="11" w16cid:durableId="1104378850">
    <w:abstractNumId w:val="46"/>
  </w:num>
  <w:num w:numId="12" w16cid:durableId="984621270">
    <w:abstractNumId w:val="42"/>
  </w:num>
  <w:num w:numId="13" w16cid:durableId="1060863638">
    <w:abstractNumId w:val="37"/>
  </w:num>
  <w:num w:numId="14" w16cid:durableId="1030839356">
    <w:abstractNumId w:val="33"/>
  </w:num>
  <w:num w:numId="15" w16cid:durableId="1113210013">
    <w:abstractNumId w:val="7"/>
  </w:num>
  <w:num w:numId="16" w16cid:durableId="1968733607">
    <w:abstractNumId w:val="13"/>
  </w:num>
  <w:num w:numId="17" w16cid:durableId="348722399">
    <w:abstractNumId w:val="36"/>
  </w:num>
  <w:num w:numId="18" w16cid:durableId="1412696832">
    <w:abstractNumId w:val="9"/>
  </w:num>
  <w:num w:numId="19" w16cid:durableId="264113877">
    <w:abstractNumId w:val="31"/>
  </w:num>
  <w:num w:numId="20" w16cid:durableId="1189221064">
    <w:abstractNumId w:val="44"/>
  </w:num>
  <w:num w:numId="21" w16cid:durableId="655257992">
    <w:abstractNumId w:val="8"/>
  </w:num>
  <w:num w:numId="22" w16cid:durableId="2037383823">
    <w:abstractNumId w:val="19"/>
  </w:num>
  <w:num w:numId="23" w16cid:durableId="1896433174">
    <w:abstractNumId w:val="35"/>
  </w:num>
  <w:num w:numId="24" w16cid:durableId="551354541">
    <w:abstractNumId w:val="15"/>
  </w:num>
  <w:num w:numId="25" w16cid:durableId="1571385277">
    <w:abstractNumId w:val="30"/>
  </w:num>
  <w:num w:numId="26" w16cid:durableId="1505516930">
    <w:abstractNumId w:val="22"/>
  </w:num>
  <w:num w:numId="27" w16cid:durableId="921573473">
    <w:abstractNumId w:val="6"/>
  </w:num>
  <w:num w:numId="28" w16cid:durableId="1131703483">
    <w:abstractNumId w:val="29"/>
  </w:num>
  <w:num w:numId="29" w16cid:durableId="260459613">
    <w:abstractNumId w:val="32"/>
  </w:num>
  <w:num w:numId="30" w16cid:durableId="1152720795">
    <w:abstractNumId w:val="24"/>
  </w:num>
  <w:num w:numId="31" w16cid:durableId="795637602">
    <w:abstractNumId w:val="45"/>
  </w:num>
  <w:num w:numId="32" w16cid:durableId="706758279">
    <w:abstractNumId w:val="39"/>
  </w:num>
  <w:num w:numId="33" w16cid:durableId="820125006">
    <w:abstractNumId w:val="17"/>
  </w:num>
  <w:num w:numId="34" w16cid:durableId="25955298">
    <w:abstractNumId w:val="27"/>
  </w:num>
  <w:num w:numId="35" w16cid:durableId="1368795216">
    <w:abstractNumId w:val="16"/>
  </w:num>
  <w:num w:numId="36" w16cid:durableId="1462071634">
    <w:abstractNumId w:val="25"/>
  </w:num>
  <w:num w:numId="37" w16cid:durableId="1185169266">
    <w:abstractNumId w:val="11"/>
  </w:num>
  <w:num w:numId="38" w16cid:durableId="582297368">
    <w:abstractNumId w:val="18"/>
  </w:num>
  <w:num w:numId="39" w16cid:durableId="375392550">
    <w:abstractNumId w:val="38"/>
  </w:num>
  <w:num w:numId="40" w16cid:durableId="593903349">
    <w:abstractNumId w:val="14"/>
  </w:num>
  <w:num w:numId="41" w16cid:durableId="1596135412">
    <w:abstractNumId w:val="20"/>
  </w:num>
  <w:num w:numId="42" w16cid:durableId="460880530">
    <w:abstractNumId w:val="40"/>
  </w:num>
  <w:num w:numId="43" w16cid:durableId="83112217">
    <w:abstractNumId w:val="23"/>
  </w:num>
  <w:num w:numId="44" w16cid:durableId="351155410">
    <w:abstractNumId w:val="12"/>
  </w:num>
  <w:num w:numId="45" w16cid:durableId="366878111">
    <w:abstractNumId w:val="28"/>
  </w:num>
  <w:num w:numId="46" w16cid:durableId="1797287154">
    <w:abstractNumId w:val="41"/>
  </w:num>
  <w:num w:numId="47" w16cid:durableId="1361512213">
    <w:abstractNumId w:val="1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trackRevisions w:val="false"/>
  <w:defaultTabStop w:val="720"/>
  <w:hyphenationZone w:val="425"/>
  <w:evenAndOddHeaders w:val="1"/>
  <w:noPunctuationKerning/>
  <w:characterSpacingControl w:val="doNotCompress"/>
  <w:savePreviewPicture/>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7730"/>
    <w:rsid w:val="00005305"/>
    <w:rsid w:val="0003108C"/>
    <w:rsid w:val="00034616"/>
    <w:rsid w:val="00036FAC"/>
    <w:rsid w:val="00040D22"/>
    <w:rsid w:val="0006063C"/>
    <w:rsid w:val="00080350"/>
    <w:rsid w:val="0009408A"/>
    <w:rsid w:val="000A59FB"/>
    <w:rsid w:val="000A95FC"/>
    <w:rsid w:val="000C3762"/>
    <w:rsid w:val="000C6E60"/>
    <w:rsid w:val="000C7B04"/>
    <w:rsid w:val="00100EBB"/>
    <w:rsid w:val="001066F2"/>
    <w:rsid w:val="0012341F"/>
    <w:rsid w:val="0013215C"/>
    <w:rsid w:val="00136553"/>
    <w:rsid w:val="00137A70"/>
    <w:rsid w:val="00141E99"/>
    <w:rsid w:val="001434D9"/>
    <w:rsid w:val="0015074B"/>
    <w:rsid w:val="00154BCB"/>
    <w:rsid w:val="00182044"/>
    <w:rsid w:val="0018414F"/>
    <w:rsid w:val="001A0CB3"/>
    <w:rsid w:val="001B4855"/>
    <w:rsid w:val="001C2C19"/>
    <w:rsid w:val="001C4939"/>
    <w:rsid w:val="001D62C0"/>
    <w:rsid w:val="001E4F7F"/>
    <w:rsid w:val="001F61DA"/>
    <w:rsid w:val="00212A57"/>
    <w:rsid w:val="0022412D"/>
    <w:rsid w:val="002352AE"/>
    <w:rsid w:val="00257D58"/>
    <w:rsid w:val="00262B29"/>
    <w:rsid w:val="00272ED8"/>
    <w:rsid w:val="002771CC"/>
    <w:rsid w:val="00296339"/>
    <w:rsid w:val="0029639D"/>
    <w:rsid w:val="00297356"/>
    <w:rsid w:val="002B4232"/>
    <w:rsid w:val="002E3CB8"/>
    <w:rsid w:val="002F6020"/>
    <w:rsid w:val="0030045B"/>
    <w:rsid w:val="00302492"/>
    <w:rsid w:val="003246FD"/>
    <w:rsid w:val="003252D6"/>
    <w:rsid w:val="00326F90"/>
    <w:rsid w:val="0037C2B1"/>
    <w:rsid w:val="003860FD"/>
    <w:rsid w:val="0038767C"/>
    <w:rsid w:val="00397C5E"/>
    <w:rsid w:val="003A3194"/>
    <w:rsid w:val="003C55AD"/>
    <w:rsid w:val="003E14CE"/>
    <w:rsid w:val="00438F9B"/>
    <w:rsid w:val="0044781C"/>
    <w:rsid w:val="00450507"/>
    <w:rsid w:val="004573EC"/>
    <w:rsid w:val="004676B2"/>
    <w:rsid w:val="004C288A"/>
    <w:rsid w:val="004D0370"/>
    <w:rsid w:val="004E07A5"/>
    <w:rsid w:val="00505C2D"/>
    <w:rsid w:val="0050811C"/>
    <w:rsid w:val="005115EE"/>
    <w:rsid w:val="005204B1"/>
    <w:rsid w:val="00524AE6"/>
    <w:rsid w:val="00527B8C"/>
    <w:rsid w:val="0054411E"/>
    <w:rsid w:val="00554C29"/>
    <w:rsid w:val="00563776"/>
    <w:rsid w:val="005651D3"/>
    <w:rsid w:val="00570999"/>
    <w:rsid w:val="00585BB4"/>
    <w:rsid w:val="00586DBA"/>
    <w:rsid w:val="00590D90"/>
    <w:rsid w:val="00595A4E"/>
    <w:rsid w:val="005B063D"/>
    <w:rsid w:val="005B3537"/>
    <w:rsid w:val="005D4786"/>
    <w:rsid w:val="00624170"/>
    <w:rsid w:val="006374CF"/>
    <w:rsid w:val="00643496"/>
    <w:rsid w:val="00643ED0"/>
    <w:rsid w:val="00666B92"/>
    <w:rsid w:val="00695C63"/>
    <w:rsid w:val="0069A6AE"/>
    <w:rsid w:val="006A0440"/>
    <w:rsid w:val="006B2C0D"/>
    <w:rsid w:val="006D1B69"/>
    <w:rsid w:val="006D2BF6"/>
    <w:rsid w:val="006E74C3"/>
    <w:rsid w:val="006F7A6B"/>
    <w:rsid w:val="00785B8C"/>
    <w:rsid w:val="00785F84"/>
    <w:rsid w:val="00796269"/>
    <w:rsid w:val="007A005B"/>
    <w:rsid w:val="007A60F2"/>
    <w:rsid w:val="007B26D4"/>
    <w:rsid w:val="007B39DD"/>
    <w:rsid w:val="007D47D4"/>
    <w:rsid w:val="007F1D0B"/>
    <w:rsid w:val="007F32B4"/>
    <w:rsid w:val="008052E7"/>
    <w:rsid w:val="00822A0E"/>
    <w:rsid w:val="0089571E"/>
    <w:rsid w:val="008B0F6E"/>
    <w:rsid w:val="008C37A5"/>
    <w:rsid w:val="008D6FA7"/>
    <w:rsid w:val="009250BF"/>
    <w:rsid w:val="0096451B"/>
    <w:rsid w:val="00986AB5"/>
    <w:rsid w:val="00991125"/>
    <w:rsid w:val="00997E6E"/>
    <w:rsid w:val="009AEADC"/>
    <w:rsid w:val="009B7203"/>
    <w:rsid w:val="009F2D8F"/>
    <w:rsid w:val="00A103DE"/>
    <w:rsid w:val="00A3088F"/>
    <w:rsid w:val="00A4389E"/>
    <w:rsid w:val="00A61DBB"/>
    <w:rsid w:val="00A97107"/>
    <w:rsid w:val="00AA1D8D"/>
    <w:rsid w:val="00AA7EDD"/>
    <w:rsid w:val="00AB1C4A"/>
    <w:rsid w:val="00AB61C1"/>
    <w:rsid w:val="00AE596E"/>
    <w:rsid w:val="00B09EA2"/>
    <w:rsid w:val="00B0DEBB"/>
    <w:rsid w:val="00B1283B"/>
    <w:rsid w:val="00B14C3F"/>
    <w:rsid w:val="00B2361B"/>
    <w:rsid w:val="00B25686"/>
    <w:rsid w:val="00B32B06"/>
    <w:rsid w:val="00B47730"/>
    <w:rsid w:val="00B47A2D"/>
    <w:rsid w:val="00BA15A5"/>
    <w:rsid w:val="00BB0A89"/>
    <w:rsid w:val="00BB6F24"/>
    <w:rsid w:val="00BD670A"/>
    <w:rsid w:val="00BD7923"/>
    <w:rsid w:val="00C02EFD"/>
    <w:rsid w:val="00C1168C"/>
    <w:rsid w:val="00C3199F"/>
    <w:rsid w:val="00C40CDB"/>
    <w:rsid w:val="00C4AB6A"/>
    <w:rsid w:val="00C503E6"/>
    <w:rsid w:val="00C70F97"/>
    <w:rsid w:val="00C74A5E"/>
    <w:rsid w:val="00C953A9"/>
    <w:rsid w:val="00C9AE5B"/>
    <w:rsid w:val="00CB0664"/>
    <w:rsid w:val="00CB6FAB"/>
    <w:rsid w:val="00CD4675"/>
    <w:rsid w:val="00CD75B8"/>
    <w:rsid w:val="00CE7129"/>
    <w:rsid w:val="00CF1B8A"/>
    <w:rsid w:val="00D3186A"/>
    <w:rsid w:val="00D34BBB"/>
    <w:rsid w:val="00D44EDE"/>
    <w:rsid w:val="00D802F5"/>
    <w:rsid w:val="00DA3A5D"/>
    <w:rsid w:val="00DAB6A4"/>
    <w:rsid w:val="00DC7D0E"/>
    <w:rsid w:val="00DD4D74"/>
    <w:rsid w:val="00DD5AA1"/>
    <w:rsid w:val="00E1646D"/>
    <w:rsid w:val="00E2419E"/>
    <w:rsid w:val="00E41391"/>
    <w:rsid w:val="00E45343"/>
    <w:rsid w:val="00E61AF5"/>
    <w:rsid w:val="00E67C76"/>
    <w:rsid w:val="00E76B47"/>
    <w:rsid w:val="00EB108F"/>
    <w:rsid w:val="00EBAD4E"/>
    <w:rsid w:val="00EE1D34"/>
    <w:rsid w:val="00EE79CE"/>
    <w:rsid w:val="00F076F9"/>
    <w:rsid w:val="00F15D48"/>
    <w:rsid w:val="00F30814"/>
    <w:rsid w:val="00F31012"/>
    <w:rsid w:val="00F31F41"/>
    <w:rsid w:val="00F47532"/>
    <w:rsid w:val="00F82874"/>
    <w:rsid w:val="00F8DC21"/>
    <w:rsid w:val="00F9796C"/>
    <w:rsid w:val="00FA542A"/>
    <w:rsid w:val="00FB06DA"/>
    <w:rsid w:val="00FB1D93"/>
    <w:rsid w:val="00FC5B84"/>
    <w:rsid w:val="00FC693F"/>
    <w:rsid w:val="00FE1B0D"/>
    <w:rsid w:val="00FF4419"/>
    <w:rsid w:val="00FF6AC9"/>
    <w:rsid w:val="01063ADE"/>
    <w:rsid w:val="010F3CBD"/>
    <w:rsid w:val="0116E2BE"/>
    <w:rsid w:val="011A09CA"/>
    <w:rsid w:val="0132A616"/>
    <w:rsid w:val="013B318D"/>
    <w:rsid w:val="0142F52C"/>
    <w:rsid w:val="014813BD"/>
    <w:rsid w:val="01526E9A"/>
    <w:rsid w:val="015B3C3C"/>
    <w:rsid w:val="015BAD2E"/>
    <w:rsid w:val="01674B83"/>
    <w:rsid w:val="016C71BF"/>
    <w:rsid w:val="018618C9"/>
    <w:rsid w:val="0191B466"/>
    <w:rsid w:val="0197370E"/>
    <w:rsid w:val="019B0E7D"/>
    <w:rsid w:val="019C2DCF"/>
    <w:rsid w:val="01A32D1D"/>
    <w:rsid w:val="01B952A4"/>
    <w:rsid w:val="01C54414"/>
    <w:rsid w:val="01C6AC1A"/>
    <w:rsid w:val="01D7B664"/>
    <w:rsid w:val="01D86724"/>
    <w:rsid w:val="01E48A12"/>
    <w:rsid w:val="01E5800F"/>
    <w:rsid w:val="01E95E3D"/>
    <w:rsid w:val="01FFBDED"/>
    <w:rsid w:val="0212369D"/>
    <w:rsid w:val="0226DF27"/>
    <w:rsid w:val="022CB182"/>
    <w:rsid w:val="022FE592"/>
    <w:rsid w:val="0233546D"/>
    <w:rsid w:val="02340824"/>
    <w:rsid w:val="023E779F"/>
    <w:rsid w:val="023E83AF"/>
    <w:rsid w:val="02487F78"/>
    <w:rsid w:val="024AE4DE"/>
    <w:rsid w:val="024DC604"/>
    <w:rsid w:val="024F1095"/>
    <w:rsid w:val="02543D19"/>
    <w:rsid w:val="0262A8F0"/>
    <w:rsid w:val="02679A57"/>
    <w:rsid w:val="026ADE9E"/>
    <w:rsid w:val="026C1902"/>
    <w:rsid w:val="026E1CE2"/>
    <w:rsid w:val="0277A620"/>
    <w:rsid w:val="027D0E06"/>
    <w:rsid w:val="0283AD5E"/>
    <w:rsid w:val="0298EF5C"/>
    <w:rsid w:val="029EC6AE"/>
    <w:rsid w:val="02AE1318"/>
    <w:rsid w:val="02B47994"/>
    <w:rsid w:val="02B4C46E"/>
    <w:rsid w:val="02B62703"/>
    <w:rsid w:val="02C1753E"/>
    <w:rsid w:val="02CF2C12"/>
    <w:rsid w:val="02DEDD4D"/>
    <w:rsid w:val="02E0454B"/>
    <w:rsid w:val="02E7386D"/>
    <w:rsid w:val="02F1CC00"/>
    <w:rsid w:val="02F9C502"/>
    <w:rsid w:val="03011587"/>
    <w:rsid w:val="030D7884"/>
    <w:rsid w:val="030E5056"/>
    <w:rsid w:val="03119F97"/>
    <w:rsid w:val="031C752D"/>
    <w:rsid w:val="03286E42"/>
    <w:rsid w:val="034732E7"/>
    <w:rsid w:val="035A82CB"/>
    <w:rsid w:val="0369A5FA"/>
    <w:rsid w:val="0377D763"/>
    <w:rsid w:val="037D274D"/>
    <w:rsid w:val="03A1CF28"/>
    <w:rsid w:val="03AFCFD3"/>
    <w:rsid w:val="03CE6FD7"/>
    <w:rsid w:val="03D8FF32"/>
    <w:rsid w:val="03EC73A0"/>
    <w:rsid w:val="03FF430F"/>
    <w:rsid w:val="040364D4"/>
    <w:rsid w:val="0408C004"/>
    <w:rsid w:val="0414CC32"/>
    <w:rsid w:val="041EC379"/>
    <w:rsid w:val="04267C34"/>
    <w:rsid w:val="04355447"/>
    <w:rsid w:val="04422B28"/>
    <w:rsid w:val="04423825"/>
    <w:rsid w:val="04634EB6"/>
    <w:rsid w:val="04650104"/>
    <w:rsid w:val="04747F07"/>
    <w:rsid w:val="047618CA"/>
    <w:rsid w:val="0480DA5E"/>
    <w:rsid w:val="04A9CF38"/>
    <w:rsid w:val="04A9DA03"/>
    <w:rsid w:val="04B512DF"/>
    <w:rsid w:val="04BA3611"/>
    <w:rsid w:val="04BB751C"/>
    <w:rsid w:val="04D4303D"/>
    <w:rsid w:val="04E02B93"/>
    <w:rsid w:val="04EDA945"/>
    <w:rsid w:val="04EE2BAF"/>
    <w:rsid w:val="04F25E20"/>
    <w:rsid w:val="04F57754"/>
    <w:rsid w:val="0500F586"/>
    <w:rsid w:val="050117D3"/>
    <w:rsid w:val="0505D741"/>
    <w:rsid w:val="050672EF"/>
    <w:rsid w:val="05083E97"/>
    <w:rsid w:val="050CF4A8"/>
    <w:rsid w:val="050CF614"/>
    <w:rsid w:val="0515CD59"/>
    <w:rsid w:val="052ECFFC"/>
    <w:rsid w:val="05345C6E"/>
    <w:rsid w:val="05360C19"/>
    <w:rsid w:val="053BC4B6"/>
    <w:rsid w:val="053C2013"/>
    <w:rsid w:val="0550CDCF"/>
    <w:rsid w:val="05521058"/>
    <w:rsid w:val="056160D1"/>
    <w:rsid w:val="056DBFBF"/>
    <w:rsid w:val="056DDC03"/>
    <w:rsid w:val="05768FE5"/>
    <w:rsid w:val="057ABC5D"/>
    <w:rsid w:val="058D1DD2"/>
    <w:rsid w:val="059CEE81"/>
    <w:rsid w:val="05A53763"/>
    <w:rsid w:val="05A8D05A"/>
    <w:rsid w:val="05BDA997"/>
    <w:rsid w:val="05C71188"/>
    <w:rsid w:val="05D2ED42"/>
    <w:rsid w:val="05D65F0C"/>
    <w:rsid w:val="05DDB94B"/>
    <w:rsid w:val="05F03421"/>
    <w:rsid w:val="05FBCE7E"/>
    <w:rsid w:val="06027198"/>
    <w:rsid w:val="06077C59"/>
    <w:rsid w:val="061261D4"/>
    <w:rsid w:val="0619975C"/>
    <w:rsid w:val="0639B391"/>
    <w:rsid w:val="06470E37"/>
    <w:rsid w:val="0657F9BE"/>
    <w:rsid w:val="066C5552"/>
    <w:rsid w:val="06752127"/>
    <w:rsid w:val="068A49E8"/>
    <w:rsid w:val="068E4DB7"/>
    <w:rsid w:val="0691E8B8"/>
    <w:rsid w:val="06989B70"/>
    <w:rsid w:val="069DBB3E"/>
    <w:rsid w:val="06A2EAA5"/>
    <w:rsid w:val="06A4A6CC"/>
    <w:rsid w:val="06A52B02"/>
    <w:rsid w:val="06B4214E"/>
    <w:rsid w:val="06BA8680"/>
    <w:rsid w:val="06C3710E"/>
    <w:rsid w:val="06CD5C7D"/>
    <w:rsid w:val="06DBAF0B"/>
    <w:rsid w:val="06DF6B17"/>
    <w:rsid w:val="06E215E3"/>
    <w:rsid w:val="06EA59B1"/>
    <w:rsid w:val="0700733C"/>
    <w:rsid w:val="07009831"/>
    <w:rsid w:val="0705DEC5"/>
    <w:rsid w:val="070DB7CC"/>
    <w:rsid w:val="070E733D"/>
    <w:rsid w:val="070FC4E0"/>
    <w:rsid w:val="072549ED"/>
    <w:rsid w:val="072F65C6"/>
    <w:rsid w:val="07347B6B"/>
    <w:rsid w:val="073E7DAB"/>
    <w:rsid w:val="073FCEB7"/>
    <w:rsid w:val="076653B8"/>
    <w:rsid w:val="0773EC1B"/>
    <w:rsid w:val="077997D4"/>
    <w:rsid w:val="077D0114"/>
    <w:rsid w:val="078560DF"/>
    <w:rsid w:val="0797B4DE"/>
    <w:rsid w:val="07A87F23"/>
    <w:rsid w:val="07AFCF14"/>
    <w:rsid w:val="07B087AD"/>
    <w:rsid w:val="07B33884"/>
    <w:rsid w:val="07B40098"/>
    <w:rsid w:val="07BD6BD2"/>
    <w:rsid w:val="07C67E59"/>
    <w:rsid w:val="07DC4732"/>
    <w:rsid w:val="07E54BA4"/>
    <w:rsid w:val="07F8CA79"/>
    <w:rsid w:val="0801F000"/>
    <w:rsid w:val="0816D26A"/>
    <w:rsid w:val="081C9B08"/>
    <w:rsid w:val="08462F23"/>
    <w:rsid w:val="084BB4B0"/>
    <w:rsid w:val="08561FAA"/>
    <w:rsid w:val="085778D5"/>
    <w:rsid w:val="085BA94B"/>
    <w:rsid w:val="085BBFAD"/>
    <w:rsid w:val="086096B4"/>
    <w:rsid w:val="0873506E"/>
    <w:rsid w:val="087CBF19"/>
    <w:rsid w:val="0888C878"/>
    <w:rsid w:val="089362DE"/>
    <w:rsid w:val="0896E3B5"/>
    <w:rsid w:val="089E5202"/>
    <w:rsid w:val="089E7A88"/>
    <w:rsid w:val="08A0C026"/>
    <w:rsid w:val="08A72E7F"/>
    <w:rsid w:val="08ABC2F7"/>
    <w:rsid w:val="08B0732C"/>
    <w:rsid w:val="08B63D70"/>
    <w:rsid w:val="08BD7A26"/>
    <w:rsid w:val="08BE7919"/>
    <w:rsid w:val="08C2CA14"/>
    <w:rsid w:val="08D4323B"/>
    <w:rsid w:val="08D6BFA1"/>
    <w:rsid w:val="08D896CB"/>
    <w:rsid w:val="08E3DA87"/>
    <w:rsid w:val="08E9FE31"/>
    <w:rsid w:val="090D98D8"/>
    <w:rsid w:val="09111DD8"/>
    <w:rsid w:val="091EB085"/>
    <w:rsid w:val="0926267C"/>
    <w:rsid w:val="092E7716"/>
    <w:rsid w:val="093098C0"/>
    <w:rsid w:val="0938305E"/>
    <w:rsid w:val="093907AF"/>
    <w:rsid w:val="0941CDEE"/>
    <w:rsid w:val="0953F698"/>
    <w:rsid w:val="09547641"/>
    <w:rsid w:val="095EB820"/>
    <w:rsid w:val="09656B63"/>
    <w:rsid w:val="096C7A37"/>
    <w:rsid w:val="09720D84"/>
    <w:rsid w:val="0978E6F0"/>
    <w:rsid w:val="097A3DDA"/>
    <w:rsid w:val="097E13D9"/>
    <w:rsid w:val="0984071C"/>
    <w:rsid w:val="09898536"/>
    <w:rsid w:val="098C3876"/>
    <w:rsid w:val="0994AD74"/>
    <w:rsid w:val="0995A83D"/>
    <w:rsid w:val="09E0C3DA"/>
    <w:rsid w:val="09E7CA6C"/>
    <w:rsid w:val="09EED186"/>
    <w:rsid w:val="09F48A0F"/>
    <w:rsid w:val="09F7B8D9"/>
    <w:rsid w:val="0A073A51"/>
    <w:rsid w:val="0A0BDDA4"/>
    <w:rsid w:val="0A17D8B0"/>
    <w:rsid w:val="0A21AD12"/>
    <w:rsid w:val="0A2B9B0A"/>
    <w:rsid w:val="0A3BAE0F"/>
    <w:rsid w:val="0A40E2AA"/>
    <w:rsid w:val="0A465771"/>
    <w:rsid w:val="0A678989"/>
    <w:rsid w:val="0A6E9B5A"/>
    <w:rsid w:val="0A73CF74"/>
    <w:rsid w:val="0A75EDFF"/>
    <w:rsid w:val="0A83CE87"/>
    <w:rsid w:val="0A990235"/>
    <w:rsid w:val="0A9E6973"/>
    <w:rsid w:val="0AA6C9DB"/>
    <w:rsid w:val="0AACE69B"/>
    <w:rsid w:val="0AB2FD86"/>
    <w:rsid w:val="0AB613A5"/>
    <w:rsid w:val="0ABE4706"/>
    <w:rsid w:val="0ADCA0EB"/>
    <w:rsid w:val="0AEAABC0"/>
    <w:rsid w:val="0AEEB115"/>
    <w:rsid w:val="0AEFF828"/>
    <w:rsid w:val="0AF94651"/>
    <w:rsid w:val="0AFA4084"/>
    <w:rsid w:val="0B09E303"/>
    <w:rsid w:val="0B0AE5F7"/>
    <w:rsid w:val="0B0C4CD1"/>
    <w:rsid w:val="0B12261D"/>
    <w:rsid w:val="0B1317D4"/>
    <w:rsid w:val="0B1BC40C"/>
    <w:rsid w:val="0B1C5F64"/>
    <w:rsid w:val="0B28FCAB"/>
    <w:rsid w:val="0B3348CE"/>
    <w:rsid w:val="0B42082C"/>
    <w:rsid w:val="0B48B556"/>
    <w:rsid w:val="0B537178"/>
    <w:rsid w:val="0B5C8B0B"/>
    <w:rsid w:val="0B601E8F"/>
    <w:rsid w:val="0B666901"/>
    <w:rsid w:val="0B902D41"/>
    <w:rsid w:val="0B955001"/>
    <w:rsid w:val="0B97438C"/>
    <w:rsid w:val="0BA1C666"/>
    <w:rsid w:val="0BA903DD"/>
    <w:rsid w:val="0BB0EB4E"/>
    <w:rsid w:val="0BB6A3E6"/>
    <w:rsid w:val="0BBB9A47"/>
    <w:rsid w:val="0BC2966D"/>
    <w:rsid w:val="0BCF72CD"/>
    <w:rsid w:val="0BDE815D"/>
    <w:rsid w:val="0BE057C0"/>
    <w:rsid w:val="0BE57E16"/>
    <w:rsid w:val="0BE687F3"/>
    <w:rsid w:val="0BF902A5"/>
    <w:rsid w:val="0C084525"/>
    <w:rsid w:val="0C177357"/>
    <w:rsid w:val="0C1C9E85"/>
    <w:rsid w:val="0C1D8CD7"/>
    <w:rsid w:val="0C256D60"/>
    <w:rsid w:val="0C263858"/>
    <w:rsid w:val="0C3B8A65"/>
    <w:rsid w:val="0C3F39F1"/>
    <w:rsid w:val="0C47EA3F"/>
    <w:rsid w:val="0C5D5F06"/>
    <w:rsid w:val="0C6B5775"/>
    <w:rsid w:val="0C788784"/>
    <w:rsid w:val="0C8B1502"/>
    <w:rsid w:val="0C8DE15B"/>
    <w:rsid w:val="0C9228CD"/>
    <w:rsid w:val="0C974F5D"/>
    <w:rsid w:val="0CAAB4C0"/>
    <w:rsid w:val="0CBB6A01"/>
    <w:rsid w:val="0CC50745"/>
    <w:rsid w:val="0D0EC1C5"/>
    <w:rsid w:val="0D144B94"/>
    <w:rsid w:val="0D15860F"/>
    <w:rsid w:val="0D15F7AF"/>
    <w:rsid w:val="0D16D958"/>
    <w:rsid w:val="0D18A6C7"/>
    <w:rsid w:val="0D2E8623"/>
    <w:rsid w:val="0D317A77"/>
    <w:rsid w:val="0D42BDFF"/>
    <w:rsid w:val="0D4E5349"/>
    <w:rsid w:val="0D50C186"/>
    <w:rsid w:val="0D576537"/>
    <w:rsid w:val="0D65C55A"/>
    <w:rsid w:val="0D7EAA0D"/>
    <w:rsid w:val="0D8C7768"/>
    <w:rsid w:val="0D8F63AA"/>
    <w:rsid w:val="0DA24252"/>
    <w:rsid w:val="0DA59A8C"/>
    <w:rsid w:val="0DAB9F13"/>
    <w:rsid w:val="0DB293C2"/>
    <w:rsid w:val="0DB57D7B"/>
    <w:rsid w:val="0DB6ADBD"/>
    <w:rsid w:val="0DBB1CD4"/>
    <w:rsid w:val="0DC1A5FE"/>
    <w:rsid w:val="0DC8F15C"/>
    <w:rsid w:val="0DD0E255"/>
    <w:rsid w:val="0DE0FDCE"/>
    <w:rsid w:val="0DE376BB"/>
    <w:rsid w:val="0DE63854"/>
    <w:rsid w:val="0DE81571"/>
    <w:rsid w:val="0E0D8FD3"/>
    <w:rsid w:val="0E10B682"/>
    <w:rsid w:val="0E1B249D"/>
    <w:rsid w:val="0E1D2095"/>
    <w:rsid w:val="0E20742E"/>
    <w:rsid w:val="0E2ED389"/>
    <w:rsid w:val="0E33DEEA"/>
    <w:rsid w:val="0E373925"/>
    <w:rsid w:val="0E407532"/>
    <w:rsid w:val="0E633979"/>
    <w:rsid w:val="0E7723C6"/>
    <w:rsid w:val="0E7A2DEC"/>
    <w:rsid w:val="0E91E163"/>
    <w:rsid w:val="0EA0D390"/>
    <w:rsid w:val="0EA3DE5F"/>
    <w:rsid w:val="0EAB657D"/>
    <w:rsid w:val="0EB21D3A"/>
    <w:rsid w:val="0ECB2136"/>
    <w:rsid w:val="0ED273A9"/>
    <w:rsid w:val="0ED89C20"/>
    <w:rsid w:val="0EED1D04"/>
    <w:rsid w:val="0EF76AB9"/>
    <w:rsid w:val="0EF9C5E6"/>
    <w:rsid w:val="0EFE035D"/>
    <w:rsid w:val="0F081FEB"/>
    <w:rsid w:val="0F0F35BC"/>
    <w:rsid w:val="0F0F3F26"/>
    <w:rsid w:val="0F0F5C68"/>
    <w:rsid w:val="0F101024"/>
    <w:rsid w:val="0F13F630"/>
    <w:rsid w:val="0F1962C7"/>
    <w:rsid w:val="0F3D095E"/>
    <w:rsid w:val="0F43402D"/>
    <w:rsid w:val="0F4387C6"/>
    <w:rsid w:val="0F6D6165"/>
    <w:rsid w:val="0F85F2A6"/>
    <w:rsid w:val="0F8E5DEB"/>
    <w:rsid w:val="0F9084FD"/>
    <w:rsid w:val="0F939D8E"/>
    <w:rsid w:val="0F99F0B7"/>
    <w:rsid w:val="0F9C26BF"/>
    <w:rsid w:val="0F9DB942"/>
    <w:rsid w:val="0FAEBE6D"/>
    <w:rsid w:val="0FB0CA3F"/>
    <w:rsid w:val="0FBC73A3"/>
    <w:rsid w:val="0FC0B4F2"/>
    <w:rsid w:val="0FC26B84"/>
    <w:rsid w:val="0FC44A31"/>
    <w:rsid w:val="0FC943C4"/>
    <w:rsid w:val="0FD7627A"/>
    <w:rsid w:val="0FD7D40B"/>
    <w:rsid w:val="0FDD867B"/>
    <w:rsid w:val="0FE680A2"/>
    <w:rsid w:val="0FF12708"/>
    <w:rsid w:val="0FFC584F"/>
    <w:rsid w:val="100314F1"/>
    <w:rsid w:val="1015A9AC"/>
    <w:rsid w:val="1024C668"/>
    <w:rsid w:val="102EED8F"/>
    <w:rsid w:val="10329FC9"/>
    <w:rsid w:val="104DE6B9"/>
    <w:rsid w:val="10523AB4"/>
    <w:rsid w:val="1053F46E"/>
    <w:rsid w:val="10573FA2"/>
    <w:rsid w:val="106695B2"/>
    <w:rsid w:val="10690832"/>
    <w:rsid w:val="1076874B"/>
    <w:rsid w:val="107AC17C"/>
    <w:rsid w:val="107F22F6"/>
    <w:rsid w:val="10806BF1"/>
    <w:rsid w:val="108CB774"/>
    <w:rsid w:val="108D7CF0"/>
    <w:rsid w:val="109611E5"/>
    <w:rsid w:val="109AE2DF"/>
    <w:rsid w:val="109F6522"/>
    <w:rsid w:val="10A7F795"/>
    <w:rsid w:val="10A88491"/>
    <w:rsid w:val="10AF09A0"/>
    <w:rsid w:val="10B14238"/>
    <w:rsid w:val="10C0AEA6"/>
    <w:rsid w:val="10D0D16C"/>
    <w:rsid w:val="10E46668"/>
    <w:rsid w:val="10F39B76"/>
    <w:rsid w:val="10F614D0"/>
    <w:rsid w:val="10FBF100"/>
    <w:rsid w:val="111E9873"/>
    <w:rsid w:val="11285976"/>
    <w:rsid w:val="112D8EBB"/>
    <w:rsid w:val="113D0610"/>
    <w:rsid w:val="113FAA88"/>
    <w:rsid w:val="114A0B93"/>
    <w:rsid w:val="11511BF7"/>
    <w:rsid w:val="115ADB40"/>
    <w:rsid w:val="1160935B"/>
    <w:rsid w:val="11694701"/>
    <w:rsid w:val="11723EF9"/>
    <w:rsid w:val="1183A07D"/>
    <w:rsid w:val="118662FC"/>
    <w:rsid w:val="118978BE"/>
    <w:rsid w:val="118CE006"/>
    <w:rsid w:val="11A5C8BB"/>
    <w:rsid w:val="11BC2A39"/>
    <w:rsid w:val="11BD54A8"/>
    <w:rsid w:val="11C87760"/>
    <w:rsid w:val="11C990DD"/>
    <w:rsid w:val="11CEFD77"/>
    <w:rsid w:val="11E59DAD"/>
    <w:rsid w:val="11FF8F11"/>
    <w:rsid w:val="1204DA35"/>
    <w:rsid w:val="12077800"/>
    <w:rsid w:val="12111076"/>
    <w:rsid w:val="12248205"/>
    <w:rsid w:val="1225F0CD"/>
    <w:rsid w:val="1229878B"/>
    <w:rsid w:val="12311B80"/>
    <w:rsid w:val="1235A95E"/>
    <w:rsid w:val="1242E224"/>
    <w:rsid w:val="124425A6"/>
    <w:rsid w:val="124949C4"/>
    <w:rsid w:val="12499E6D"/>
    <w:rsid w:val="124B18E7"/>
    <w:rsid w:val="124D75BA"/>
    <w:rsid w:val="1251DFB4"/>
    <w:rsid w:val="12541025"/>
    <w:rsid w:val="1255EA15"/>
    <w:rsid w:val="1258AD56"/>
    <w:rsid w:val="125B9A02"/>
    <w:rsid w:val="12630D85"/>
    <w:rsid w:val="126DFA6B"/>
    <w:rsid w:val="126E4E59"/>
    <w:rsid w:val="127CDEDD"/>
    <w:rsid w:val="1288462E"/>
    <w:rsid w:val="128960E2"/>
    <w:rsid w:val="128D8225"/>
    <w:rsid w:val="128FF4F7"/>
    <w:rsid w:val="12A3C943"/>
    <w:rsid w:val="12AF6338"/>
    <w:rsid w:val="12B61943"/>
    <w:rsid w:val="12B67AF6"/>
    <w:rsid w:val="12BDB751"/>
    <w:rsid w:val="12C24784"/>
    <w:rsid w:val="12C964FC"/>
    <w:rsid w:val="12D85281"/>
    <w:rsid w:val="12DBE65C"/>
    <w:rsid w:val="12E9C130"/>
    <w:rsid w:val="12EFB039"/>
    <w:rsid w:val="12F8C93E"/>
    <w:rsid w:val="133F3B7A"/>
    <w:rsid w:val="133F4C6F"/>
    <w:rsid w:val="1341F4EE"/>
    <w:rsid w:val="134B134C"/>
    <w:rsid w:val="134B975A"/>
    <w:rsid w:val="135A9A67"/>
    <w:rsid w:val="135B29B4"/>
    <w:rsid w:val="135B56D3"/>
    <w:rsid w:val="135D0DF3"/>
    <w:rsid w:val="1361178D"/>
    <w:rsid w:val="13655420"/>
    <w:rsid w:val="136B32C5"/>
    <w:rsid w:val="136F2A49"/>
    <w:rsid w:val="137C7BAC"/>
    <w:rsid w:val="137E4DB9"/>
    <w:rsid w:val="13886EBA"/>
    <w:rsid w:val="139B68AC"/>
    <w:rsid w:val="13A50208"/>
    <w:rsid w:val="13AB92EF"/>
    <w:rsid w:val="13AC5E38"/>
    <w:rsid w:val="13B14BBC"/>
    <w:rsid w:val="13BE718C"/>
    <w:rsid w:val="13C569E1"/>
    <w:rsid w:val="13CBBD21"/>
    <w:rsid w:val="13EC0088"/>
    <w:rsid w:val="13EC8A0D"/>
    <w:rsid w:val="13F1FE85"/>
    <w:rsid w:val="13FB2840"/>
    <w:rsid w:val="14002733"/>
    <w:rsid w:val="14056F8C"/>
    <w:rsid w:val="1411D638"/>
    <w:rsid w:val="141296DA"/>
    <w:rsid w:val="1414A3B1"/>
    <w:rsid w:val="141CC446"/>
    <w:rsid w:val="141E2EB6"/>
    <w:rsid w:val="1427E31E"/>
    <w:rsid w:val="142B7DB8"/>
    <w:rsid w:val="142E0581"/>
    <w:rsid w:val="1433DCC4"/>
    <w:rsid w:val="1451B6CE"/>
    <w:rsid w:val="1455BC56"/>
    <w:rsid w:val="1455EB19"/>
    <w:rsid w:val="14659E61"/>
    <w:rsid w:val="148343D8"/>
    <w:rsid w:val="148CB18F"/>
    <w:rsid w:val="14973349"/>
    <w:rsid w:val="14A3E805"/>
    <w:rsid w:val="14A415E4"/>
    <w:rsid w:val="14ABCB9D"/>
    <w:rsid w:val="14B1BFA4"/>
    <w:rsid w:val="14B27CCC"/>
    <w:rsid w:val="14B9176A"/>
    <w:rsid w:val="14BA86F7"/>
    <w:rsid w:val="14BBBA9E"/>
    <w:rsid w:val="14BCE46A"/>
    <w:rsid w:val="14C2D021"/>
    <w:rsid w:val="14DC53C9"/>
    <w:rsid w:val="14DCF61E"/>
    <w:rsid w:val="14DDB73A"/>
    <w:rsid w:val="14E07F86"/>
    <w:rsid w:val="14E34900"/>
    <w:rsid w:val="14E7E745"/>
    <w:rsid w:val="14ECC32B"/>
    <w:rsid w:val="150FB910"/>
    <w:rsid w:val="1517F7C9"/>
    <w:rsid w:val="151C76A1"/>
    <w:rsid w:val="151E8DC0"/>
    <w:rsid w:val="15211F3B"/>
    <w:rsid w:val="152A4F7D"/>
    <w:rsid w:val="154A0631"/>
    <w:rsid w:val="154C6DA2"/>
    <w:rsid w:val="154E8844"/>
    <w:rsid w:val="1551E58C"/>
    <w:rsid w:val="155AE2E8"/>
    <w:rsid w:val="1567C835"/>
    <w:rsid w:val="156CB327"/>
    <w:rsid w:val="156E6288"/>
    <w:rsid w:val="157F41BC"/>
    <w:rsid w:val="1581B614"/>
    <w:rsid w:val="1581D856"/>
    <w:rsid w:val="158E045D"/>
    <w:rsid w:val="15A0CFE7"/>
    <w:rsid w:val="15A4CFC3"/>
    <w:rsid w:val="15A5ADE6"/>
    <w:rsid w:val="15B2CAA6"/>
    <w:rsid w:val="15B63103"/>
    <w:rsid w:val="15C7DCE8"/>
    <w:rsid w:val="15C979F0"/>
    <w:rsid w:val="15E3C783"/>
    <w:rsid w:val="15E9B1BD"/>
    <w:rsid w:val="15F5AAB0"/>
    <w:rsid w:val="16037F59"/>
    <w:rsid w:val="160527A5"/>
    <w:rsid w:val="161031FB"/>
    <w:rsid w:val="161AAC2E"/>
    <w:rsid w:val="161CE257"/>
    <w:rsid w:val="164C6165"/>
    <w:rsid w:val="16509E77"/>
    <w:rsid w:val="1652E907"/>
    <w:rsid w:val="1652FBA5"/>
    <w:rsid w:val="16539A98"/>
    <w:rsid w:val="1654BB7C"/>
    <w:rsid w:val="165DF45F"/>
    <w:rsid w:val="166964AB"/>
    <w:rsid w:val="166AA4B9"/>
    <w:rsid w:val="166AF404"/>
    <w:rsid w:val="16829B65"/>
    <w:rsid w:val="168490DB"/>
    <w:rsid w:val="169005C2"/>
    <w:rsid w:val="16917D24"/>
    <w:rsid w:val="1693EAE6"/>
    <w:rsid w:val="169ADFF6"/>
    <w:rsid w:val="16A30431"/>
    <w:rsid w:val="16A9B90F"/>
    <w:rsid w:val="16AD4EF5"/>
    <w:rsid w:val="16B221C5"/>
    <w:rsid w:val="16B60D08"/>
    <w:rsid w:val="16BF3C7D"/>
    <w:rsid w:val="16C58B9E"/>
    <w:rsid w:val="16CCEE20"/>
    <w:rsid w:val="16E64E2E"/>
    <w:rsid w:val="16FC9703"/>
    <w:rsid w:val="16FEE8AC"/>
    <w:rsid w:val="16FFC66A"/>
    <w:rsid w:val="170B4A89"/>
    <w:rsid w:val="17191CB0"/>
    <w:rsid w:val="1730744A"/>
    <w:rsid w:val="17430466"/>
    <w:rsid w:val="174A4192"/>
    <w:rsid w:val="174EB3D3"/>
    <w:rsid w:val="1755D5F9"/>
    <w:rsid w:val="1759BA39"/>
    <w:rsid w:val="175D3BF3"/>
    <w:rsid w:val="177FFF46"/>
    <w:rsid w:val="17810B7D"/>
    <w:rsid w:val="178D99D5"/>
    <w:rsid w:val="1791737D"/>
    <w:rsid w:val="179F180B"/>
    <w:rsid w:val="179FFBDE"/>
    <w:rsid w:val="17A4FBF8"/>
    <w:rsid w:val="17A6686C"/>
    <w:rsid w:val="17A6BEDD"/>
    <w:rsid w:val="17B18999"/>
    <w:rsid w:val="17C6E96D"/>
    <w:rsid w:val="17DB0F0D"/>
    <w:rsid w:val="17DB1373"/>
    <w:rsid w:val="17DC3A89"/>
    <w:rsid w:val="17E9291E"/>
    <w:rsid w:val="17EF1CAD"/>
    <w:rsid w:val="17F9A407"/>
    <w:rsid w:val="18018B99"/>
    <w:rsid w:val="18071F7E"/>
    <w:rsid w:val="180927D9"/>
    <w:rsid w:val="180C6747"/>
    <w:rsid w:val="18163D63"/>
    <w:rsid w:val="182277B1"/>
    <w:rsid w:val="1824BA49"/>
    <w:rsid w:val="182688EA"/>
    <w:rsid w:val="182AC577"/>
    <w:rsid w:val="182F6950"/>
    <w:rsid w:val="1834CAD1"/>
    <w:rsid w:val="1840F05B"/>
    <w:rsid w:val="184B7E72"/>
    <w:rsid w:val="1855B8E7"/>
    <w:rsid w:val="186D53F2"/>
    <w:rsid w:val="187A748F"/>
    <w:rsid w:val="1887BA18"/>
    <w:rsid w:val="189038A7"/>
    <w:rsid w:val="18990C3D"/>
    <w:rsid w:val="189B1EA5"/>
    <w:rsid w:val="189EA20E"/>
    <w:rsid w:val="18A613BC"/>
    <w:rsid w:val="18B0BF65"/>
    <w:rsid w:val="18C6A790"/>
    <w:rsid w:val="18C8EF06"/>
    <w:rsid w:val="18D50392"/>
    <w:rsid w:val="18DBABC6"/>
    <w:rsid w:val="18DCB79C"/>
    <w:rsid w:val="18E61194"/>
    <w:rsid w:val="18EFB30F"/>
    <w:rsid w:val="18FCF7E6"/>
    <w:rsid w:val="19060FCE"/>
    <w:rsid w:val="190AF0D3"/>
    <w:rsid w:val="190E4A94"/>
    <w:rsid w:val="1920A4D6"/>
    <w:rsid w:val="1925B7EE"/>
    <w:rsid w:val="19266ACC"/>
    <w:rsid w:val="1927E365"/>
    <w:rsid w:val="19289AAD"/>
    <w:rsid w:val="193D3E28"/>
    <w:rsid w:val="1940B7D8"/>
    <w:rsid w:val="194F8023"/>
    <w:rsid w:val="19510941"/>
    <w:rsid w:val="1953350C"/>
    <w:rsid w:val="1966316B"/>
    <w:rsid w:val="196BC991"/>
    <w:rsid w:val="1982CAAB"/>
    <w:rsid w:val="19886EAE"/>
    <w:rsid w:val="1994EC06"/>
    <w:rsid w:val="19B26F5E"/>
    <w:rsid w:val="19B2C451"/>
    <w:rsid w:val="19C4437F"/>
    <w:rsid w:val="19C6D0ED"/>
    <w:rsid w:val="19CBAA86"/>
    <w:rsid w:val="19CBEE33"/>
    <w:rsid w:val="19D2C777"/>
    <w:rsid w:val="19DF9926"/>
    <w:rsid w:val="19F2B789"/>
    <w:rsid w:val="19F4B3E0"/>
    <w:rsid w:val="19FC4230"/>
    <w:rsid w:val="1A07F2F9"/>
    <w:rsid w:val="1A167E09"/>
    <w:rsid w:val="1A30C1EA"/>
    <w:rsid w:val="1A38D14C"/>
    <w:rsid w:val="1A456302"/>
    <w:rsid w:val="1A567ADE"/>
    <w:rsid w:val="1A5A4694"/>
    <w:rsid w:val="1A5E1991"/>
    <w:rsid w:val="1A644844"/>
    <w:rsid w:val="1A6D5604"/>
    <w:rsid w:val="1A81EB1E"/>
    <w:rsid w:val="1A831BCB"/>
    <w:rsid w:val="1A8434DB"/>
    <w:rsid w:val="1A8DC83E"/>
    <w:rsid w:val="1A9FD557"/>
    <w:rsid w:val="1AA53241"/>
    <w:rsid w:val="1ABEA9DE"/>
    <w:rsid w:val="1AC6EB19"/>
    <w:rsid w:val="1ACDA254"/>
    <w:rsid w:val="1ACFF2BE"/>
    <w:rsid w:val="1AD2204C"/>
    <w:rsid w:val="1AD2E28C"/>
    <w:rsid w:val="1AE34F20"/>
    <w:rsid w:val="1AEB8BD5"/>
    <w:rsid w:val="1AF4F7C2"/>
    <w:rsid w:val="1AF7EF3B"/>
    <w:rsid w:val="1AFB7B51"/>
    <w:rsid w:val="1B00367F"/>
    <w:rsid w:val="1B00FD7C"/>
    <w:rsid w:val="1B03B06B"/>
    <w:rsid w:val="1B06B307"/>
    <w:rsid w:val="1B0F74EF"/>
    <w:rsid w:val="1B184DF2"/>
    <w:rsid w:val="1B19C319"/>
    <w:rsid w:val="1B1C8C32"/>
    <w:rsid w:val="1B24ECBE"/>
    <w:rsid w:val="1B253C67"/>
    <w:rsid w:val="1B2663D5"/>
    <w:rsid w:val="1B2BFC84"/>
    <w:rsid w:val="1B481017"/>
    <w:rsid w:val="1B507FA5"/>
    <w:rsid w:val="1B5575D1"/>
    <w:rsid w:val="1B7FA849"/>
    <w:rsid w:val="1B7FC3E2"/>
    <w:rsid w:val="1B84474B"/>
    <w:rsid w:val="1B8501A5"/>
    <w:rsid w:val="1B86A1EB"/>
    <w:rsid w:val="1B9025DA"/>
    <w:rsid w:val="1BAB1D43"/>
    <w:rsid w:val="1BB5E422"/>
    <w:rsid w:val="1BBB166D"/>
    <w:rsid w:val="1BC9C8DB"/>
    <w:rsid w:val="1BEA92C6"/>
    <w:rsid w:val="1BFCA749"/>
    <w:rsid w:val="1C03E4E2"/>
    <w:rsid w:val="1C0C298D"/>
    <w:rsid w:val="1C1403A7"/>
    <w:rsid w:val="1C24DC04"/>
    <w:rsid w:val="1C3E0194"/>
    <w:rsid w:val="1C3F1D17"/>
    <w:rsid w:val="1C4C0540"/>
    <w:rsid w:val="1C77DF2C"/>
    <w:rsid w:val="1C7B5823"/>
    <w:rsid w:val="1C7E1C3D"/>
    <w:rsid w:val="1C81729A"/>
    <w:rsid w:val="1C8D30A0"/>
    <w:rsid w:val="1C92AF33"/>
    <w:rsid w:val="1CA12F82"/>
    <w:rsid w:val="1CB22695"/>
    <w:rsid w:val="1CB65D45"/>
    <w:rsid w:val="1CC19A57"/>
    <w:rsid w:val="1CC5FE73"/>
    <w:rsid w:val="1CD29EA3"/>
    <w:rsid w:val="1CE96DF7"/>
    <w:rsid w:val="1CEA0C96"/>
    <w:rsid w:val="1CF2E294"/>
    <w:rsid w:val="1CF6E562"/>
    <w:rsid w:val="1D01292B"/>
    <w:rsid w:val="1D086564"/>
    <w:rsid w:val="1D0B9EB2"/>
    <w:rsid w:val="1D225D50"/>
    <w:rsid w:val="1D49CEE5"/>
    <w:rsid w:val="1D512E13"/>
    <w:rsid w:val="1D54A2B0"/>
    <w:rsid w:val="1D7CFF59"/>
    <w:rsid w:val="1D88B78B"/>
    <w:rsid w:val="1D8A74D7"/>
    <w:rsid w:val="1D9D947C"/>
    <w:rsid w:val="1DA33444"/>
    <w:rsid w:val="1DBA6D86"/>
    <w:rsid w:val="1DBAFC77"/>
    <w:rsid w:val="1DBE71C2"/>
    <w:rsid w:val="1DC287BB"/>
    <w:rsid w:val="1DD0D2A7"/>
    <w:rsid w:val="1DD3D751"/>
    <w:rsid w:val="1DF15B53"/>
    <w:rsid w:val="1E11C15A"/>
    <w:rsid w:val="1E12A456"/>
    <w:rsid w:val="1E1539B2"/>
    <w:rsid w:val="1E17CF33"/>
    <w:rsid w:val="1E1EA41B"/>
    <w:rsid w:val="1E21580C"/>
    <w:rsid w:val="1E274F1B"/>
    <w:rsid w:val="1E291D4E"/>
    <w:rsid w:val="1E302A99"/>
    <w:rsid w:val="1E3E9EAB"/>
    <w:rsid w:val="1E460613"/>
    <w:rsid w:val="1E4ADA42"/>
    <w:rsid w:val="1E5B922B"/>
    <w:rsid w:val="1E6B6683"/>
    <w:rsid w:val="1E72D911"/>
    <w:rsid w:val="1E8550A1"/>
    <w:rsid w:val="1E86616F"/>
    <w:rsid w:val="1E9A66F2"/>
    <w:rsid w:val="1E9FCD3E"/>
    <w:rsid w:val="1EA0CC24"/>
    <w:rsid w:val="1EA7F25C"/>
    <w:rsid w:val="1EBA25CA"/>
    <w:rsid w:val="1EC7CAAD"/>
    <w:rsid w:val="1ECC443E"/>
    <w:rsid w:val="1ED05C2D"/>
    <w:rsid w:val="1ED3FDB7"/>
    <w:rsid w:val="1EDD7BA9"/>
    <w:rsid w:val="1EE13CC4"/>
    <w:rsid w:val="1F24E011"/>
    <w:rsid w:val="1F3657A2"/>
    <w:rsid w:val="1F3DA3D7"/>
    <w:rsid w:val="1F416A94"/>
    <w:rsid w:val="1F41EEA0"/>
    <w:rsid w:val="1F45F3F6"/>
    <w:rsid w:val="1F5CB514"/>
    <w:rsid w:val="1F74971A"/>
    <w:rsid w:val="1F812AC7"/>
    <w:rsid w:val="1F8D1F4D"/>
    <w:rsid w:val="1FABE2A4"/>
    <w:rsid w:val="1FAFBE29"/>
    <w:rsid w:val="1FB512EE"/>
    <w:rsid w:val="1FB8F6E3"/>
    <w:rsid w:val="1FBB2250"/>
    <w:rsid w:val="1FC1882F"/>
    <w:rsid w:val="1FC4248F"/>
    <w:rsid w:val="1FC9A570"/>
    <w:rsid w:val="1FCC03C7"/>
    <w:rsid w:val="1FCEF3C8"/>
    <w:rsid w:val="1FD19B38"/>
    <w:rsid w:val="1FE3960A"/>
    <w:rsid w:val="1FE8FCDA"/>
    <w:rsid w:val="1FEB93B5"/>
    <w:rsid w:val="1FF4E95D"/>
    <w:rsid w:val="1FF938D4"/>
    <w:rsid w:val="1FFE1676"/>
    <w:rsid w:val="20058C31"/>
    <w:rsid w:val="201443AF"/>
    <w:rsid w:val="2017D3F3"/>
    <w:rsid w:val="202B41DC"/>
    <w:rsid w:val="2031348B"/>
    <w:rsid w:val="20381FBD"/>
    <w:rsid w:val="20481119"/>
    <w:rsid w:val="204E84DA"/>
    <w:rsid w:val="20515C25"/>
    <w:rsid w:val="205176A6"/>
    <w:rsid w:val="2060A0BD"/>
    <w:rsid w:val="2073467B"/>
    <w:rsid w:val="2078049E"/>
    <w:rsid w:val="207B715D"/>
    <w:rsid w:val="207D7B9B"/>
    <w:rsid w:val="2080F129"/>
    <w:rsid w:val="20817880"/>
    <w:rsid w:val="208F9E3A"/>
    <w:rsid w:val="2091F767"/>
    <w:rsid w:val="2092F225"/>
    <w:rsid w:val="20A1E50E"/>
    <w:rsid w:val="20B21A21"/>
    <w:rsid w:val="20B58FA2"/>
    <w:rsid w:val="20BFBF6A"/>
    <w:rsid w:val="20C30921"/>
    <w:rsid w:val="20C653C1"/>
    <w:rsid w:val="20D0DBBD"/>
    <w:rsid w:val="20D63EC2"/>
    <w:rsid w:val="20DF4F01"/>
    <w:rsid w:val="20F16C2F"/>
    <w:rsid w:val="20F36A62"/>
    <w:rsid w:val="20F3AEB4"/>
    <w:rsid w:val="2109ED50"/>
    <w:rsid w:val="210A97AA"/>
    <w:rsid w:val="21189F78"/>
    <w:rsid w:val="212254C4"/>
    <w:rsid w:val="2134ED93"/>
    <w:rsid w:val="2135E7A3"/>
    <w:rsid w:val="213AB19F"/>
    <w:rsid w:val="21437885"/>
    <w:rsid w:val="2144E9B6"/>
    <w:rsid w:val="214E4E9B"/>
    <w:rsid w:val="215C515E"/>
    <w:rsid w:val="21734684"/>
    <w:rsid w:val="21844833"/>
    <w:rsid w:val="218583AA"/>
    <w:rsid w:val="2187F56F"/>
    <w:rsid w:val="218C60F3"/>
    <w:rsid w:val="219A29C4"/>
    <w:rsid w:val="21ADF55D"/>
    <w:rsid w:val="21AFC613"/>
    <w:rsid w:val="21B32BBC"/>
    <w:rsid w:val="21B4C975"/>
    <w:rsid w:val="21B8600A"/>
    <w:rsid w:val="21BCB21B"/>
    <w:rsid w:val="21C06F81"/>
    <w:rsid w:val="21C1EE6F"/>
    <w:rsid w:val="21C60FDC"/>
    <w:rsid w:val="21D10CFF"/>
    <w:rsid w:val="21DB23AE"/>
    <w:rsid w:val="21F85165"/>
    <w:rsid w:val="21F90A20"/>
    <w:rsid w:val="21FB7DA5"/>
    <w:rsid w:val="2200668C"/>
    <w:rsid w:val="220A51A6"/>
    <w:rsid w:val="2211768D"/>
    <w:rsid w:val="221B564B"/>
    <w:rsid w:val="222A65F3"/>
    <w:rsid w:val="22594DB5"/>
    <w:rsid w:val="2264396F"/>
    <w:rsid w:val="22673DCF"/>
    <w:rsid w:val="226E2944"/>
    <w:rsid w:val="226F1829"/>
    <w:rsid w:val="226FD465"/>
    <w:rsid w:val="22745BFB"/>
    <w:rsid w:val="22799B35"/>
    <w:rsid w:val="227BC8BF"/>
    <w:rsid w:val="227C7E92"/>
    <w:rsid w:val="227CD571"/>
    <w:rsid w:val="227D9697"/>
    <w:rsid w:val="227F18F6"/>
    <w:rsid w:val="2281794C"/>
    <w:rsid w:val="22854132"/>
    <w:rsid w:val="22A4434A"/>
    <w:rsid w:val="22A5A375"/>
    <w:rsid w:val="22AA1837"/>
    <w:rsid w:val="22AB04F7"/>
    <w:rsid w:val="22AB804B"/>
    <w:rsid w:val="22AC33EB"/>
    <w:rsid w:val="22AD9221"/>
    <w:rsid w:val="22B15C0D"/>
    <w:rsid w:val="22BA2CA8"/>
    <w:rsid w:val="22C9BFE0"/>
    <w:rsid w:val="22CD6C35"/>
    <w:rsid w:val="22DD5898"/>
    <w:rsid w:val="22DF24C9"/>
    <w:rsid w:val="22E2E84E"/>
    <w:rsid w:val="22F59B6E"/>
    <w:rsid w:val="22F79C73"/>
    <w:rsid w:val="2305079D"/>
    <w:rsid w:val="230508F9"/>
    <w:rsid w:val="23216227"/>
    <w:rsid w:val="232BF8EE"/>
    <w:rsid w:val="233A9426"/>
    <w:rsid w:val="2354863A"/>
    <w:rsid w:val="2355CB88"/>
    <w:rsid w:val="2356F5AB"/>
    <w:rsid w:val="23668D24"/>
    <w:rsid w:val="2373BE69"/>
    <w:rsid w:val="2378AA4B"/>
    <w:rsid w:val="237C8C1D"/>
    <w:rsid w:val="2385188B"/>
    <w:rsid w:val="238AED8D"/>
    <w:rsid w:val="238D60BC"/>
    <w:rsid w:val="238F25E9"/>
    <w:rsid w:val="23958AF1"/>
    <w:rsid w:val="239758D7"/>
    <w:rsid w:val="239FB186"/>
    <w:rsid w:val="23A69D0E"/>
    <w:rsid w:val="23B0F5B2"/>
    <w:rsid w:val="23B5E36F"/>
    <w:rsid w:val="23BB7B53"/>
    <w:rsid w:val="23C8469E"/>
    <w:rsid w:val="23CF423A"/>
    <w:rsid w:val="23CFEB6C"/>
    <w:rsid w:val="23D91DE3"/>
    <w:rsid w:val="23E02A15"/>
    <w:rsid w:val="23E08F35"/>
    <w:rsid w:val="23F13D2D"/>
    <w:rsid w:val="23F18A15"/>
    <w:rsid w:val="23F93AC6"/>
    <w:rsid w:val="24031029"/>
    <w:rsid w:val="240A34DB"/>
    <w:rsid w:val="241D0B75"/>
    <w:rsid w:val="241F1EC5"/>
    <w:rsid w:val="242AEF32"/>
    <w:rsid w:val="243A7BC0"/>
    <w:rsid w:val="24418887"/>
    <w:rsid w:val="244FA65B"/>
    <w:rsid w:val="244FDC13"/>
    <w:rsid w:val="24608A34"/>
    <w:rsid w:val="24643111"/>
    <w:rsid w:val="247B7775"/>
    <w:rsid w:val="247CDACC"/>
    <w:rsid w:val="248C984F"/>
    <w:rsid w:val="24A39AEE"/>
    <w:rsid w:val="24B0B6B8"/>
    <w:rsid w:val="24B6E21C"/>
    <w:rsid w:val="24BA6B9D"/>
    <w:rsid w:val="24C22586"/>
    <w:rsid w:val="24CFE1FA"/>
    <w:rsid w:val="24D4E04E"/>
    <w:rsid w:val="24EF14FE"/>
    <w:rsid w:val="24FBD8FF"/>
    <w:rsid w:val="25001E5F"/>
    <w:rsid w:val="2508B6C6"/>
    <w:rsid w:val="250E650E"/>
    <w:rsid w:val="2537E2C9"/>
    <w:rsid w:val="254F36A8"/>
    <w:rsid w:val="2554107D"/>
    <w:rsid w:val="255623E3"/>
    <w:rsid w:val="255DE3C8"/>
    <w:rsid w:val="2565FE48"/>
    <w:rsid w:val="256DE629"/>
    <w:rsid w:val="256F00A3"/>
    <w:rsid w:val="256FA370"/>
    <w:rsid w:val="256FC2FB"/>
    <w:rsid w:val="2582F1B0"/>
    <w:rsid w:val="2590D203"/>
    <w:rsid w:val="259825B7"/>
    <w:rsid w:val="25AE9CAF"/>
    <w:rsid w:val="25CAB420"/>
    <w:rsid w:val="25D38855"/>
    <w:rsid w:val="25D701ED"/>
    <w:rsid w:val="25D76B84"/>
    <w:rsid w:val="25E25D87"/>
    <w:rsid w:val="25E2D72E"/>
    <w:rsid w:val="25F4CCB2"/>
    <w:rsid w:val="2604CE4F"/>
    <w:rsid w:val="261A8BAE"/>
    <w:rsid w:val="2621C545"/>
    <w:rsid w:val="26282451"/>
    <w:rsid w:val="262D98CD"/>
    <w:rsid w:val="264D22B2"/>
    <w:rsid w:val="265AA130"/>
    <w:rsid w:val="26628A18"/>
    <w:rsid w:val="267B7F21"/>
    <w:rsid w:val="267CD8BA"/>
    <w:rsid w:val="26888507"/>
    <w:rsid w:val="268A3D8E"/>
    <w:rsid w:val="2693CF4F"/>
    <w:rsid w:val="2698B9DA"/>
    <w:rsid w:val="26997E64"/>
    <w:rsid w:val="26A449A8"/>
    <w:rsid w:val="26A6FE96"/>
    <w:rsid w:val="26B068B6"/>
    <w:rsid w:val="26CBB181"/>
    <w:rsid w:val="26EED271"/>
    <w:rsid w:val="270757EB"/>
    <w:rsid w:val="270CF549"/>
    <w:rsid w:val="2713C040"/>
    <w:rsid w:val="27171DD7"/>
    <w:rsid w:val="27179BE2"/>
    <w:rsid w:val="27292A91"/>
    <w:rsid w:val="272A56A1"/>
    <w:rsid w:val="272B37B9"/>
    <w:rsid w:val="272F33DC"/>
    <w:rsid w:val="2738C4D1"/>
    <w:rsid w:val="27462CB4"/>
    <w:rsid w:val="274E903E"/>
    <w:rsid w:val="27564721"/>
    <w:rsid w:val="27612A2C"/>
    <w:rsid w:val="277466C7"/>
    <w:rsid w:val="2774B17A"/>
    <w:rsid w:val="27768C52"/>
    <w:rsid w:val="278409DB"/>
    <w:rsid w:val="278802F9"/>
    <w:rsid w:val="278D0FA1"/>
    <w:rsid w:val="279A80A3"/>
    <w:rsid w:val="27ADD116"/>
    <w:rsid w:val="27B41D12"/>
    <w:rsid w:val="27BEFD5B"/>
    <w:rsid w:val="27C97132"/>
    <w:rsid w:val="27DBB5EE"/>
    <w:rsid w:val="27DEDB65"/>
    <w:rsid w:val="27E18288"/>
    <w:rsid w:val="27E8F5D8"/>
    <w:rsid w:val="27FB8B50"/>
    <w:rsid w:val="2807FA0D"/>
    <w:rsid w:val="280E7D67"/>
    <w:rsid w:val="28103052"/>
    <w:rsid w:val="2811C4A0"/>
    <w:rsid w:val="2816CFCF"/>
    <w:rsid w:val="2823F3B6"/>
    <w:rsid w:val="28267428"/>
    <w:rsid w:val="282DE740"/>
    <w:rsid w:val="283288CA"/>
    <w:rsid w:val="2836487B"/>
    <w:rsid w:val="2837771C"/>
    <w:rsid w:val="283D894E"/>
    <w:rsid w:val="28464B1A"/>
    <w:rsid w:val="284BF9E7"/>
    <w:rsid w:val="284F8F2D"/>
    <w:rsid w:val="2858515C"/>
    <w:rsid w:val="285E1042"/>
    <w:rsid w:val="28605D69"/>
    <w:rsid w:val="2864333A"/>
    <w:rsid w:val="2880E24E"/>
    <w:rsid w:val="289EFF1F"/>
    <w:rsid w:val="28A13B30"/>
    <w:rsid w:val="28A27B60"/>
    <w:rsid w:val="28A27D7A"/>
    <w:rsid w:val="28AC0C8C"/>
    <w:rsid w:val="28B2B59F"/>
    <w:rsid w:val="28B9AF60"/>
    <w:rsid w:val="28BE0362"/>
    <w:rsid w:val="28E15C4E"/>
    <w:rsid w:val="28E25C40"/>
    <w:rsid w:val="28ED48CB"/>
    <w:rsid w:val="28EE450A"/>
    <w:rsid w:val="28EFCE6C"/>
    <w:rsid w:val="28F247EF"/>
    <w:rsid w:val="28F326F0"/>
    <w:rsid w:val="28FE6999"/>
    <w:rsid w:val="290A24B2"/>
    <w:rsid w:val="290ADFD2"/>
    <w:rsid w:val="290D6AC4"/>
    <w:rsid w:val="290DE1FB"/>
    <w:rsid w:val="291AE2CC"/>
    <w:rsid w:val="291B59AE"/>
    <w:rsid w:val="29224ACC"/>
    <w:rsid w:val="293F827C"/>
    <w:rsid w:val="29502150"/>
    <w:rsid w:val="2950672A"/>
    <w:rsid w:val="2953E69F"/>
    <w:rsid w:val="29546DA2"/>
    <w:rsid w:val="2966D1BC"/>
    <w:rsid w:val="29766C45"/>
    <w:rsid w:val="2982AF62"/>
    <w:rsid w:val="29873E51"/>
    <w:rsid w:val="298E64B4"/>
    <w:rsid w:val="29922CD0"/>
    <w:rsid w:val="29ADE06A"/>
    <w:rsid w:val="29B14008"/>
    <w:rsid w:val="29C129F9"/>
    <w:rsid w:val="29CF1F79"/>
    <w:rsid w:val="29D33D2F"/>
    <w:rsid w:val="29D4EC9E"/>
    <w:rsid w:val="29E252A6"/>
    <w:rsid w:val="29E3B829"/>
    <w:rsid w:val="29E904EA"/>
    <w:rsid w:val="29F2568E"/>
    <w:rsid w:val="29F2A85B"/>
    <w:rsid w:val="29F4D442"/>
    <w:rsid w:val="2A0611A6"/>
    <w:rsid w:val="2A11E3F1"/>
    <w:rsid w:val="2A1FB2CE"/>
    <w:rsid w:val="2A20786C"/>
    <w:rsid w:val="2A24117C"/>
    <w:rsid w:val="2A252712"/>
    <w:rsid w:val="2A25454B"/>
    <w:rsid w:val="2A2B8A3B"/>
    <w:rsid w:val="2A35D984"/>
    <w:rsid w:val="2A361190"/>
    <w:rsid w:val="2A3C894C"/>
    <w:rsid w:val="2A48C33D"/>
    <w:rsid w:val="2A54E95F"/>
    <w:rsid w:val="2A55D0E7"/>
    <w:rsid w:val="2A59EBAD"/>
    <w:rsid w:val="2A5B29A6"/>
    <w:rsid w:val="2A5FEEE8"/>
    <w:rsid w:val="2A72324F"/>
    <w:rsid w:val="2A770C12"/>
    <w:rsid w:val="2A7C079B"/>
    <w:rsid w:val="2A8921F5"/>
    <w:rsid w:val="2A8BCDC8"/>
    <w:rsid w:val="2A92609B"/>
    <w:rsid w:val="2A9C3883"/>
    <w:rsid w:val="2AA3ED99"/>
    <w:rsid w:val="2AAA632F"/>
    <w:rsid w:val="2AAF651F"/>
    <w:rsid w:val="2AB64626"/>
    <w:rsid w:val="2AB9359C"/>
    <w:rsid w:val="2ABA75EB"/>
    <w:rsid w:val="2ABC0588"/>
    <w:rsid w:val="2AC1EF3C"/>
    <w:rsid w:val="2AC79D77"/>
    <w:rsid w:val="2AC91ED4"/>
    <w:rsid w:val="2AD0CF3B"/>
    <w:rsid w:val="2AE37DAF"/>
    <w:rsid w:val="2AEBC849"/>
    <w:rsid w:val="2AF01210"/>
    <w:rsid w:val="2AF384E6"/>
    <w:rsid w:val="2B05333C"/>
    <w:rsid w:val="2B1AFE85"/>
    <w:rsid w:val="2B2D2423"/>
    <w:rsid w:val="2B2E381C"/>
    <w:rsid w:val="2B436148"/>
    <w:rsid w:val="2B481AD2"/>
    <w:rsid w:val="2B703E0A"/>
    <w:rsid w:val="2B801BD6"/>
    <w:rsid w:val="2B80671B"/>
    <w:rsid w:val="2B8B0C4F"/>
    <w:rsid w:val="2B8C9798"/>
    <w:rsid w:val="2B98AA1B"/>
    <w:rsid w:val="2BAB6D73"/>
    <w:rsid w:val="2BBF2E2A"/>
    <w:rsid w:val="2BDC0303"/>
    <w:rsid w:val="2BE88E7F"/>
    <w:rsid w:val="2BF18307"/>
    <w:rsid w:val="2BF79F49"/>
    <w:rsid w:val="2BF84A05"/>
    <w:rsid w:val="2C00245A"/>
    <w:rsid w:val="2C0A3FA7"/>
    <w:rsid w:val="2C0D726F"/>
    <w:rsid w:val="2C14EE56"/>
    <w:rsid w:val="2C256F7B"/>
    <w:rsid w:val="2C277C09"/>
    <w:rsid w:val="2C30A415"/>
    <w:rsid w:val="2C32E247"/>
    <w:rsid w:val="2C4E4DBB"/>
    <w:rsid w:val="2C5051DA"/>
    <w:rsid w:val="2C63B096"/>
    <w:rsid w:val="2C6E2151"/>
    <w:rsid w:val="2C6E38B3"/>
    <w:rsid w:val="2C754AE1"/>
    <w:rsid w:val="2C7BE858"/>
    <w:rsid w:val="2C7FE10E"/>
    <w:rsid w:val="2C8F02BE"/>
    <w:rsid w:val="2C8F0A7C"/>
    <w:rsid w:val="2C98F17F"/>
    <w:rsid w:val="2C9ED9D1"/>
    <w:rsid w:val="2CAB55D1"/>
    <w:rsid w:val="2CB4963E"/>
    <w:rsid w:val="2CD0E757"/>
    <w:rsid w:val="2CDA789F"/>
    <w:rsid w:val="2CE570B0"/>
    <w:rsid w:val="2CF117F7"/>
    <w:rsid w:val="2CFAEA4C"/>
    <w:rsid w:val="2CFB43D3"/>
    <w:rsid w:val="2D00A4AE"/>
    <w:rsid w:val="2D16A573"/>
    <w:rsid w:val="2D1938BA"/>
    <w:rsid w:val="2D1BE770"/>
    <w:rsid w:val="2D212F5F"/>
    <w:rsid w:val="2D2F204B"/>
    <w:rsid w:val="2D32545C"/>
    <w:rsid w:val="2D3A009F"/>
    <w:rsid w:val="2D4374EF"/>
    <w:rsid w:val="2D52806D"/>
    <w:rsid w:val="2D70B81D"/>
    <w:rsid w:val="2D783B9D"/>
    <w:rsid w:val="2D7997ED"/>
    <w:rsid w:val="2D7C735A"/>
    <w:rsid w:val="2D81B638"/>
    <w:rsid w:val="2D8A4397"/>
    <w:rsid w:val="2D9F6069"/>
    <w:rsid w:val="2DA4171C"/>
    <w:rsid w:val="2DB3322D"/>
    <w:rsid w:val="2DBC1246"/>
    <w:rsid w:val="2DBDA5F1"/>
    <w:rsid w:val="2DBE97AC"/>
    <w:rsid w:val="2DD0042F"/>
    <w:rsid w:val="2DD2D684"/>
    <w:rsid w:val="2DF01D95"/>
    <w:rsid w:val="2DF31150"/>
    <w:rsid w:val="2DFBAF12"/>
    <w:rsid w:val="2E066534"/>
    <w:rsid w:val="2E10CE36"/>
    <w:rsid w:val="2E128377"/>
    <w:rsid w:val="2E174AFC"/>
    <w:rsid w:val="2E307A85"/>
    <w:rsid w:val="2E3658F2"/>
    <w:rsid w:val="2E4B9999"/>
    <w:rsid w:val="2E519195"/>
    <w:rsid w:val="2E573C27"/>
    <w:rsid w:val="2E670FCA"/>
    <w:rsid w:val="2E685462"/>
    <w:rsid w:val="2E6E63B5"/>
    <w:rsid w:val="2E832F56"/>
    <w:rsid w:val="2E88EEE0"/>
    <w:rsid w:val="2E8B178A"/>
    <w:rsid w:val="2E990086"/>
    <w:rsid w:val="2E999074"/>
    <w:rsid w:val="2E9AA759"/>
    <w:rsid w:val="2EA4D3CA"/>
    <w:rsid w:val="2EA5F9E0"/>
    <w:rsid w:val="2EA8587D"/>
    <w:rsid w:val="2EBDF7CF"/>
    <w:rsid w:val="2EBEEF47"/>
    <w:rsid w:val="2EC058C9"/>
    <w:rsid w:val="2EC0FA38"/>
    <w:rsid w:val="2EC9467C"/>
    <w:rsid w:val="2ED5AA01"/>
    <w:rsid w:val="2ED73D0E"/>
    <w:rsid w:val="2ED940FF"/>
    <w:rsid w:val="2EFA1BF7"/>
    <w:rsid w:val="2F1D5258"/>
    <w:rsid w:val="2F2A05B6"/>
    <w:rsid w:val="2F404336"/>
    <w:rsid w:val="2F4C5D69"/>
    <w:rsid w:val="2F63AD99"/>
    <w:rsid w:val="2F6655E8"/>
    <w:rsid w:val="2F6A94BA"/>
    <w:rsid w:val="2F789A2C"/>
    <w:rsid w:val="2F7A5567"/>
    <w:rsid w:val="2F7B0A50"/>
    <w:rsid w:val="2F80F25D"/>
    <w:rsid w:val="2F81369E"/>
    <w:rsid w:val="2F8CA3F0"/>
    <w:rsid w:val="2F93869E"/>
    <w:rsid w:val="2F984D84"/>
    <w:rsid w:val="2FA29FBE"/>
    <w:rsid w:val="2FB68130"/>
    <w:rsid w:val="2FB71323"/>
    <w:rsid w:val="2FB76CB4"/>
    <w:rsid w:val="2FBDD361"/>
    <w:rsid w:val="2FC3BFC8"/>
    <w:rsid w:val="2FC7EA31"/>
    <w:rsid w:val="2FCBDB76"/>
    <w:rsid w:val="2FCE93A6"/>
    <w:rsid w:val="2FDB6662"/>
    <w:rsid w:val="2FE09544"/>
    <w:rsid w:val="2FEA3540"/>
    <w:rsid w:val="2FF14EA1"/>
    <w:rsid w:val="2FF9A1D1"/>
    <w:rsid w:val="30008430"/>
    <w:rsid w:val="300C063E"/>
    <w:rsid w:val="302654A1"/>
    <w:rsid w:val="30277C47"/>
    <w:rsid w:val="30304741"/>
    <w:rsid w:val="3036F12B"/>
    <w:rsid w:val="303988F5"/>
    <w:rsid w:val="305E5F7B"/>
    <w:rsid w:val="307A83CD"/>
    <w:rsid w:val="30812D19"/>
    <w:rsid w:val="3083CE87"/>
    <w:rsid w:val="308CB81D"/>
    <w:rsid w:val="3092BDFA"/>
    <w:rsid w:val="30961947"/>
    <w:rsid w:val="309AC74B"/>
    <w:rsid w:val="30AC8DAC"/>
    <w:rsid w:val="30B51A21"/>
    <w:rsid w:val="30C44110"/>
    <w:rsid w:val="30D10A4B"/>
    <w:rsid w:val="30DCBCC2"/>
    <w:rsid w:val="30EAACBC"/>
    <w:rsid w:val="30F99A98"/>
    <w:rsid w:val="3100C336"/>
    <w:rsid w:val="31024F0E"/>
    <w:rsid w:val="31194E91"/>
    <w:rsid w:val="312580ED"/>
    <w:rsid w:val="3127AA1B"/>
    <w:rsid w:val="31331690"/>
    <w:rsid w:val="313C98ED"/>
    <w:rsid w:val="313D0963"/>
    <w:rsid w:val="313F6B77"/>
    <w:rsid w:val="31525AB3"/>
    <w:rsid w:val="31603CED"/>
    <w:rsid w:val="31677C74"/>
    <w:rsid w:val="316C49AD"/>
    <w:rsid w:val="317527DD"/>
    <w:rsid w:val="3175B50C"/>
    <w:rsid w:val="317E33F5"/>
    <w:rsid w:val="318F57D4"/>
    <w:rsid w:val="31913C46"/>
    <w:rsid w:val="31929E87"/>
    <w:rsid w:val="31AFC941"/>
    <w:rsid w:val="31B0C58A"/>
    <w:rsid w:val="31BA3B3B"/>
    <w:rsid w:val="31C64E7E"/>
    <w:rsid w:val="31D35B11"/>
    <w:rsid w:val="31E0DB5C"/>
    <w:rsid w:val="31F59CBD"/>
    <w:rsid w:val="32015E6B"/>
    <w:rsid w:val="3201D086"/>
    <w:rsid w:val="32183988"/>
    <w:rsid w:val="321C3C7A"/>
    <w:rsid w:val="3221A139"/>
    <w:rsid w:val="3227C7C2"/>
    <w:rsid w:val="3234F09A"/>
    <w:rsid w:val="324273D8"/>
    <w:rsid w:val="3247646E"/>
    <w:rsid w:val="3247A581"/>
    <w:rsid w:val="325AF475"/>
    <w:rsid w:val="325F3658"/>
    <w:rsid w:val="325FA135"/>
    <w:rsid w:val="326B2616"/>
    <w:rsid w:val="327CFA6A"/>
    <w:rsid w:val="3294FFFE"/>
    <w:rsid w:val="329B41C8"/>
    <w:rsid w:val="329DC3AE"/>
    <w:rsid w:val="32AD2C0A"/>
    <w:rsid w:val="32B22695"/>
    <w:rsid w:val="32BF045F"/>
    <w:rsid w:val="32C202EC"/>
    <w:rsid w:val="32C2455D"/>
    <w:rsid w:val="32D58BAB"/>
    <w:rsid w:val="32E0D274"/>
    <w:rsid w:val="32E67456"/>
    <w:rsid w:val="32E83C4E"/>
    <w:rsid w:val="32F957E1"/>
    <w:rsid w:val="32FFD361"/>
    <w:rsid w:val="33061AB5"/>
    <w:rsid w:val="3306D202"/>
    <w:rsid w:val="3308C1C6"/>
    <w:rsid w:val="331AAA66"/>
    <w:rsid w:val="331C43D7"/>
    <w:rsid w:val="332768A8"/>
    <w:rsid w:val="332A01BA"/>
    <w:rsid w:val="334F012A"/>
    <w:rsid w:val="33509D39"/>
    <w:rsid w:val="33532A80"/>
    <w:rsid w:val="33672099"/>
    <w:rsid w:val="336A7DE7"/>
    <w:rsid w:val="33728E02"/>
    <w:rsid w:val="337997C8"/>
    <w:rsid w:val="33832F56"/>
    <w:rsid w:val="3388C11D"/>
    <w:rsid w:val="3394B2A2"/>
    <w:rsid w:val="339A7C2F"/>
    <w:rsid w:val="33A280E7"/>
    <w:rsid w:val="33AE5A25"/>
    <w:rsid w:val="33B79D7D"/>
    <w:rsid w:val="33E91A5F"/>
    <w:rsid w:val="33ECC58D"/>
    <w:rsid w:val="34036885"/>
    <w:rsid w:val="34064F8E"/>
    <w:rsid w:val="34144620"/>
    <w:rsid w:val="341BB814"/>
    <w:rsid w:val="341CE192"/>
    <w:rsid w:val="34208EF4"/>
    <w:rsid w:val="34227E4F"/>
    <w:rsid w:val="34273EF3"/>
    <w:rsid w:val="34323E30"/>
    <w:rsid w:val="345941B4"/>
    <w:rsid w:val="346B366B"/>
    <w:rsid w:val="346F495A"/>
    <w:rsid w:val="34804654"/>
    <w:rsid w:val="3482FE82"/>
    <w:rsid w:val="349EEAAE"/>
    <w:rsid w:val="34B47DE8"/>
    <w:rsid w:val="34B8C6CF"/>
    <w:rsid w:val="34C9E4C6"/>
    <w:rsid w:val="34CA70C9"/>
    <w:rsid w:val="34DF06D7"/>
    <w:rsid w:val="34E296C2"/>
    <w:rsid w:val="34EEF96C"/>
    <w:rsid w:val="34FBD0CD"/>
    <w:rsid w:val="35060162"/>
    <w:rsid w:val="35099ABB"/>
    <w:rsid w:val="350A2B2D"/>
    <w:rsid w:val="35125F64"/>
    <w:rsid w:val="353F13D6"/>
    <w:rsid w:val="354DACE4"/>
    <w:rsid w:val="35571EBF"/>
    <w:rsid w:val="355809DC"/>
    <w:rsid w:val="35608374"/>
    <w:rsid w:val="3564765F"/>
    <w:rsid w:val="356C0198"/>
    <w:rsid w:val="3583FD57"/>
    <w:rsid w:val="358790D5"/>
    <w:rsid w:val="35927D98"/>
    <w:rsid w:val="35A1DEC7"/>
    <w:rsid w:val="35A73222"/>
    <w:rsid w:val="35AAEE91"/>
    <w:rsid w:val="35B41E25"/>
    <w:rsid w:val="35B461DD"/>
    <w:rsid w:val="35C37782"/>
    <w:rsid w:val="35C38CB9"/>
    <w:rsid w:val="35C5A8CD"/>
    <w:rsid w:val="35CA5017"/>
    <w:rsid w:val="35D51B1E"/>
    <w:rsid w:val="35E6B5F6"/>
    <w:rsid w:val="35F9083C"/>
    <w:rsid w:val="35FAD2E9"/>
    <w:rsid w:val="36097FDB"/>
    <w:rsid w:val="360AE254"/>
    <w:rsid w:val="36143A66"/>
    <w:rsid w:val="362B62D3"/>
    <w:rsid w:val="362DA211"/>
    <w:rsid w:val="364A154A"/>
    <w:rsid w:val="3656285B"/>
    <w:rsid w:val="36653E59"/>
    <w:rsid w:val="366E24B7"/>
    <w:rsid w:val="36731259"/>
    <w:rsid w:val="36785C64"/>
    <w:rsid w:val="367DEDB5"/>
    <w:rsid w:val="367E3FB2"/>
    <w:rsid w:val="367EB6C3"/>
    <w:rsid w:val="368C193F"/>
    <w:rsid w:val="369EB90B"/>
    <w:rsid w:val="36A11E36"/>
    <w:rsid w:val="36A577E8"/>
    <w:rsid w:val="36AE816F"/>
    <w:rsid w:val="36B37163"/>
    <w:rsid w:val="36B5ABD3"/>
    <w:rsid w:val="36B7006B"/>
    <w:rsid w:val="36BEE815"/>
    <w:rsid w:val="36BEFC74"/>
    <w:rsid w:val="36C8619A"/>
    <w:rsid w:val="36D8DB5F"/>
    <w:rsid w:val="36E7F585"/>
    <w:rsid w:val="370BAC70"/>
    <w:rsid w:val="371E4FC2"/>
    <w:rsid w:val="37207231"/>
    <w:rsid w:val="37220ACD"/>
    <w:rsid w:val="373328A5"/>
    <w:rsid w:val="3750C133"/>
    <w:rsid w:val="3756E9FD"/>
    <w:rsid w:val="376F5767"/>
    <w:rsid w:val="37788918"/>
    <w:rsid w:val="37794D87"/>
    <w:rsid w:val="377B0542"/>
    <w:rsid w:val="3784058D"/>
    <w:rsid w:val="3786EC1C"/>
    <w:rsid w:val="3788E332"/>
    <w:rsid w:val="378E5E48"/>
    <w:rsid w:val="3797F148"/>
    <w:rsid w:val="379C4B2F"/>
    <w:rsid w:val="37B0E737"/>
    <w:rsid w:val="37B24C17"/>
    <w:rsid w:val="37B3DDA1"/>
    <w:rsid w:val="37B5043A"/>
    <w:rsid w:val="37BE490F"/>
    <w:rsid w:val="37C0FF7A"/>
    <w:rsid w:val="37CA87BE"/>
    <w:rsid w:val="37E4309F"/>
    <w:rsid w:val="37E67CC1"/>
    <w:rsid w:val="37EB1280"/>
    <w:rsid w:val="38036305"/>
    <w:rsid w:val="3806D32A"/>
    <w:rsid w:val="38212235"/>
    <w:rsid w:val="3821A6C6"/>
    <w:rsid w:val="38273157"/>
    <w:rsid w:val="3834E365"/>
    <w:rsid w:val="3834ECF8"/>
    <w:rsid w:val="384526C5"/>
    <w:rsid w:val="384EB3F2"/>
    <w:rsid w:val="384F98A7"/>
    <w:rsid w:val="3852CF04"/>
    <w:rsid w:val="3855BF45"/>
    <w:rsid w:val="38669EF6"/>
    <w:rsid w:val="3867DA58"/>
    <w:rsid w:val="38691567"/>
    <w:rsid w:val="38793346"/>
    <w:rsid w:val="387CF08A"/>
    <w:rsid w:val="387DD72F"/>
    <w:rsid w:val="389177B1"/>
    <w:rsid w:val="38940563"/>
    <w:rsid w:val="3897DABD"/>
    <w:rsid w:val="38AB10B3"/>
    <w:rsid w:val="38ABA7EC"/>
    <w:rsid w:val="38B03EE0"/>
    <w:rsid w:val="38B3FF6C"/>
    <w:rsid w:val="38D1D3D4"/>
    <w:rsid w:val="38E0B9B2"/>
    <w:rsid w:val="38E2E6BE"/>
    <w:rsid w:val="38EFD730"/>
    <w:rsid w:val="38F33572"/>
    <w:rsid w:val="38FCFCC2"/>
    <w:rsid w:val="3904CD92"/>
    <w:rsid w:val="39052F99"/>
    <w:rsid w:val="393D73EA"/>
    <w:rsid w:val="393DED43"/>
    <w:rsid w:val="393F907F"/>
    <w:rsid w:val="39579FD6"/>
    <w:rsid w:val="3960FF88"/>
    <w:rsid w:val="3965B058"/>
    <w:rsid w:val="3966906C"/>
    <w:rsid w:val="396724D5"/>
    <w:rsid w:val="396768FA"/>
    <w:rsid w:val="396A69EC"/>
    <w:rsid w:val="39751239"/>
    <w:rsid w:val="39758793"/>
    <w:rsid w:val="39776EC2"/>
    <w:rsid w:val="397B065C"/>
    <w:rsid w:val="397F6601"/>
    <w:rsid w:val="39802656"/>
    <w:rsid w:val="3981318A"/>
    <w:rsid w:val="39813E4A"/>
    <w:rsid w:val="39880661"/>
    <w:rsid w:val="39893ED9"/>
    <w:rsid w:val="399075CD"/>
    <w:rsid w:val="3994E356"/>
    <w:rsid w:val="3998EA5E"/>
    <w:rsid w:val="399E0008"/>
    <w:rsid w:val="39A0F167"/>
    <w:rsid w:val="39A3495E"/>
    <w:rsid w:val="39B32E52"/>
    <w:rsid w:val="39B9C568"/>
    <w:rsid w:val="39C4DD09"/>
    <w:rsid w:val="39D68A73"/>
    <w:rsid w:val="39D843E2"/>
    <w:rsid w:val="39DA00B4"/>
    <w:rsid w:val="39DC0333"/>
    <w:rsid w:val="39E1A58A"/>
    <w:rsid w:val="39E1B337"/>
    <w:rsid w:val="3A0B3A9C"/>
    <w:rsid w:val="3A0D4FCE"/>
    <w:rsid w:val="3A22A01E"/>
    <w:rsid w:val="3A26D644"/>
    <w:rsid w:val="3A2BB76C"/>
    <w:rsid w:val="3A2D6937"/>
    <w:rsid w:val="3A2D7B8D"/>
    <w:rsid w:val="3A3C6E94"/>
    <w:rsid w:val="3A3FCF83"/>
    <w:rsid w:val="3A420E23"/>
    <w:rsid w:val="3A4B246E"/>
    <w:rsid w:val="3A532390"/>
    <w:rsid w:val="3A770EDC"/>
    <w:rsid w:val="3A9681C8"/>
    <w:rsid w:val="3A9B1F64"/>
    <w:rsid w:val="3A9DE9C2"/>
    <w:rsid w:val="3AABF6AA"/>
    <w:rsid w:val="3AAEC310"/>
    <w:rsid w:val="3AB82E9F"/>
    <w:rsid w:val="3AC5AD8E"/>
    <w:rsid w:val="3AD42329"/>
    <w:rsid w:val="3AD4557F"/>
    <w:rsid w:val="3AE07C54"/>
    <w:rsid w:val="3AE4F112"/>
    <w:rsid w:val="3AFBD9DA"/>
    <w:rsid w:val="3B03EB79"/>
    <w:rsid w:val="3B094252"/>
    <w:rsid w:val="3B0EE085"/>
    <w:rsid w:val="3B0F951D"/>
    <w:rsid w:val="3B13609F"/>
    <w:rsid w:val="3B137DC8"/>
    <w:rsid w:val="3B1C9124"/>
    <w:rsid w:val="3B2DE5B8"/>
    <w:rsid w:val="3B2E30D4"/>
    <w:rsid w:val="3B3E4398"/>
    <w:rsid w:val="3B42B901"/>
    <w:rsid w:val="3B466B76"/>
    <w:rsid w:val="3B4BBB13"/>
    <w:rsid w:val="3B54C53B"/>
    <w:rsid w:val="3B57CC0B"/>
    <w:rsid w:val="3B58FE1C"/>
    <w:rsid w:val="3B5ADCCA"/>
    <w:rsid w:val="3B651587"/>
    <w:rsid w:val="3B6627E1"/>
    <w:rsid w:val="3B6BD1FD"/>
    <w:rsid w:val="3B72AFD2"/>
    <w:rsid w:val="3B78E4D2"/>
    <w:rsid w:val="3B7E5144"/>
    <w:rsid w:val="3B8E24CC"/>
    <w:rsid w:val="3B90B8E8"/>
    <w:rsid w:val="3B9187DE"/>
    <w:rsid w:val="3B9E05F1"/>
    <w:rsid w:val="3B9E186F"/>
    <w:rsid w:val="3BAD79CE"/>
    <w:rsid w:val="3BAF0644"/>
    <w:rsid w:val="3BE46C98"/>
    <w:rsid w:val="3BE525C9"/>
    <w:rsid w:val="3BFBBCD9"/>
    <w:rsid w:val="3BFCC6D2"/>
    <w:rsid w:val="3C1B9A7E"/>
    <w:rsid w:val="3C2F08CA"/>
    <w:rsid w:val="3C49A2F1"/>
    <w:rsid w:val="3C4F651F"/>
    <w:rsid w:val="3C506196"/>
    <w:rsid w:val="3C53C673"/>
    <w:rsid w:val="3C566FF0"/>
    <w:rsid w:val="3C56B997"/>
    <w:rsid w:val="3C5B184D"/>
    <w:rsid w:val="3C634A83"/>
    <w:rsid w:val="3C71FDD1"/>
    <w:rsid w:val="3C72E6C4"/>
    <w:rsid w:val="3C743DF8"/>
    <w:rsid w:val="3C88A8B0"/>
    <w:rsid w:val="3C8D9882"/>
    <w:rsid w:val="3C8FF8C3"/>
    <w:rsid w:val="3C9FDB49"/>
    <w:rsid w:val="3CA06CF0"/>
    <w:rsid w:val="3CA264BA"/>
    <w:rsid w:val="3CA4FFB5"/>
    <w:rsid w:val="3CA69BCB"/>
    <w:rsid w:val="3CA8EF44"/>
    <w:rsid w:val="3CAA4BEA"/>
    <w:rsid w:val="3CBB062B"/>
    <w:rsid w:val="3CC675AB"/>
    <w:rsid w:val="3CC8E177"/>
    <w:rsid w:val="3CD5E152"/>
    <w:rsid w:val="3CE13563"/>
    <w:rsid w:val="3CEE019B"/>
    <w:rsid w:val="3CFC0311"/>
    <w:rsid w:val="3D0348A9"/>
    <w:rsid w:val="3D046D10"/>
    <w:rsid w:val="3D086FDD"/>
    <w:rsid w:val="3D093CB8"/>
    <w:rsid w:val="3D13AE36"/>
    <w:rsid w:val="3D18B6CF"/>
    <w:rsid w:val="3D1FC817"/>
    <w:rsid w:val="3D249063"/>
    <w:rsid w:val="3D2D6CED"/>
    <w:rsid w:val="3D3791BF"/>
    <w:rsid w:val="3D38971B"/>
    <w:rsid w:val="3D4240A4"/>
    <w:rsid w:val="3D494797"/>
    <w:rsid w:val="3D546EA0"/>
    <w:rsid w:val="3D5B8365"/>
    <w:rsid w:val="3D608794"/>
    <w:rsid w:val="3D646C6E"/>
    <w:rsid w:val="3D8B58F6"/>
    <w:rsid w:val="3D98F0DD"/>
    <w:rsid w:val="3DA45810"/>
    <w:rsid w:val="3DB08B3B"/>
    <w:rsid w:val="3DB95CB6"/>
    <w:rsid w:val="3DCCD914"/>
    <w:rsid w:val="3DCDD8A9"/>
    <w:rsid w:val="3DD21098"/>
    <w:rsid w:val="3DD3074E"/>
    <w:rsid w:val="3DE8685B"/>
    <w:rsid w:val="3DF469E8"/>
    <w:rsid w:val="3DF4D7D9"/>
    <w:rsid w:val="3DFAAB6A"/>
    <w:rsid w:val="3E002D9A"/>
    <w:rsid w:val="3E098D36"/>
    <w:rsid w:val="3E0CC096"/>
    <w:rsid w:val="3E0E1A05"/>
    <w:rsid w:val="3E0E68C3"/>
    <w:rsid w:val="3E19FD86"/>
    <w:rsid w:val="3E313CEC"/>
    <w:rsid w:val="3E36642A"/>
    <w:rsid w:val="3E3BD02B"/>
    <w:rsid w:val="3E3CF52E"/>
    <w:rsid w:val="3E3EA03A"/>
    <w:rsid w:val="3E3EBAC5"/>
    <w:rsid w:val="3E4BBA05"/>
    <w:rsid w:val="3E56A1BA"/>
    <w:rsid w:val="3E5E0BD9"/>
    <w:rsid w:val="3E5FEAA5"/>
    <w:rsid w:val="3E63DD0E"/>
    <w:rsid w:val="3E88EC78"/>
    <w:rsid w:val="3E893345"/>
    <w:rsid w:val="3E8DEDD9"/>
    <w:rsid w:val="3E996223"/>
    <w:rsid w:val="3E9C92D7"/>
    <w:rsid w:val="3E9DBF50"/>
    <w:rsid w:val="3E9FD293"/>
    <w:rsid w:val="3EA166EC"/>
    <w:rsid w:val="3EA64A8F"/>
    <w:rsid w:val="3EB9D77F"/>
    <w:rsid w:val="3EBAAA62"/>
    <w:rsid w:val="3EBF6ADA"/>
    <w:rsid w:val="3EC35ADF"/>
    <w:rsid w:val="3EC9C705"/>
    <w:rsid w:val="3ECCE1C9"/>
    <w:rsid w:val="3ECD28D5"/>
    <w:rsid w:val="3ED21C32"/>
    <w:rsid w:val="3ED6355F"/>
    <w:rsid w:val="3EDA0CEE"/>
    <w:rsid w:val="3EE600FF"/>
    <w:rsid w:val="3F04DABA"/>
    <w:rsid w:val="3F05C3C0"/>
    <w:rsid w:val="3F1FADAB"/>
    <w:rsid w:val="3F25CBD1"/>
    <w:rsid w:val="3F275608"/>
    <w:rsid w:val="3F3A3988"/>
    <w:rsid w:val="3F5C7344"/>
    <w:rsid w:val="3F64A9E6"/>
    <w:rsid w:val="3F6E0476"/>
    <w:rsid w:val="3F79F10F"/>
    <w:rsid w:val="3F8851AE"/>
    <w:rsid w:val="3F892C46"/>
    <w:rsid w:val="3F8BC5CA"/>
    <w:rsid w:val="3F8D8977"/>
    <w:rsid w:val="3FA5CF80"/>
    <w:rsid w:val="3FA8001C"/>
    <w:rsid w:val="3FA9C18E"/>
    <w:rsid w:val="3FB750E5"/>
    <w:rsid w:val="3FB9FD72"/>
    <w:rsid w:val="3FC4E38B"/>
    <w:rsid w:val="3FD548F0"/>
    <w:rsid w:val="3FDEAB29"/>
    <w:rsid w:val="3FED53E2"/>
    <w:rsid w:val="3FF08DD6"/>
    <w:rsid w:val="3FF0D9F2"/>
    <w:rsid w:val="400D94C2"/>
    <w:rsid w:val="4011A067"/>
    <w:rsid w:val="4016B055"/>
    <w:rsid w:val="401A7906"/>
    <w:rsid w:val="401B9BDB"/>
    <w:rsid w:val="40215931"/>
    <w:rsid w:val="402A5B85"/>
    <w:rsid w:val="402F2D72"/>
    <w:rsid w:val="4030FE3C"/>
    <w:rsid w:val="403C9BC1"/>
    <w:rsid w:val="405771E4"/>
    <w:rsid w:val="406CAAAC"/>
    <w:rsid w:val="407488A9"/>
    <w:rsid w:val="407D623B"/>
    <w:rsid w:val="40811ABE"/>
    <w:rsid w:val="4086A01D"/>
    <w:rsid w:val="408AF0B9"/>
    <w:rsid w:val="40A4F498"/>
    <w:rsid w:val="40A68933"/>
    <w:rsid w:val="40AAF4D0"/>
    <w:rsid w:val="40AEDC12"/>
    <w:rsid w:val="40AFA09E"/>
    <w:rsid w:val="40BEC467"/>
    <w:rsid w:val="40C9A6ED"/>
    <w:rsid w:val="40CACDCC"/>
    <w:rsid w:val="40CED258"/>
    <w:rsid w:val="40FC4580"/>
    <w:rsid w:val="41108AEA"/>
    <w:rsid w:val="41197F2F"/>
    <w:rsid w:val="411D253A"/>
    <w:rsid w:val="41293D3C"/>
    <w:rsid w:val="4132C8AB"/>
    <w:rsid w:val="4133F849"/>
    <w:rsid w:val="413E5A18"/>
    <w:rsid w:val="414B3590"/>
    <w:rsid w:val="414B7F9B"/>
    <w:rsid w:val="414DF037"/>
    <w:rsid w:val="415048BA"/>
    <w:rsid w:val="415C01CD"/>
    <w:rsid w:val="4160AB7F"/>
    <w:rsid w:val="416742EE"/>
    <w:rsid w:val="416BDFDF"/>
    <w:rsid w:val="417DAF0B"/>
    <w:rsid w:val="4182DD5E"/>
    <w:rsid w:val="4199F23F"/>
    <w:rsid w:val="41A67FA4"/>
    <w:rsid w:val="41B0FBFF"/>
    <w:rsid w:val="41C93822"/>
    <w:rsid w:val="41D74D64"/>
    <w:rsid w:val="41F25D26"/>
    <w:rsid w:val="41FC4C35"/>
    <w:rsid w:val="4210A452"/>
    <w:rsid w:val="42258A79"/>
    <w:rsid w:val="422B24FD"/>
    <w:rsid w:val="422C6B1E"/>
    <w:rsid w:val="4232FF96"/>
    <w:rsid w:val="42354E58"/>
    <w:rsid w:val="42420502"/>
    <w:rsid w:val="42463432"/>
    <w:rsid w:val="424A8DED"/>
    <w:rsid w:val="424DA054"/>
    <w:rsid w:val="42514FEA"/>
    <w:rsid w:val="425C2FF3"/>
    <w:rsid w:val="4260B31C"/>
    <w:rsid w:val="42641722"/>
    <w:rsid w:val="426E2460"/>
    <w:rsid w:val="4278FD8D"/>
    <w:rsid w:val="427E5501"/>
    <w:rsid w:val="428470A5"/>
    <w:rsid w:val="4285135F"/>
    <w:rsid w:val="428DF9D5"/>
    <w:rsid w:val="429FE6AC"/>
    <w:rsid w:val="42A2EBCB"/>
    <w:rsid w:val="42B409B7"/>
    <w:rsid w:val="42BFDA44"/>
    <w:rsid w:val="42C246D7"/>
    <w:rsid w:val="42D73649"/>
    <w:rsid w:val="42DB508E"/>
    <w:rsid w:val="42E18B80"/>
    <w:rsid w:val="42E389F6"/>
    <w:rsid w:val="42E40015"/>
    <w:rsid w:val="42E6B73D"/>
    <w:rsid w:val="42ECFB73"/>
    <w:rsid w:val="42FC03A9"/>
    <w:rsid w:val="42FD3E9D"/>
    <w:rsid w:val="4301E303"/>
    <w:rsid w:val="430F5DEA"/>
    <w:rsid w:val="432025CA"/>
    <w:rsid w:val="4325575D"/>
    <w:rsid w:val="43327E99"/>
    <w:rsid w:val="4340520F"/>
    <w:rsid w:val="4347FDEB"/>
    <w:rsid w:val="434B3FB9"/>
    <w:rsid w:val="4358F062"/>
    <w:rsid w:val="435BF74D"/>
    <w:rsid w:val="437999A1"/>
    <w:rsid w:val="439DC602"/>
    <w:rsid w:val="43A1AE0F"/>
    <w:rsid w:val="43A444DA"/>
    <w:rsid w:val="43AC3611"/>
    <w:rsid w:val="43ADEA6C"/>
    <w:rsid w:val="43C70CEA"/>
    <w:rsid w:val="43CF8651"/>
    <w:rsid w:val="43DF7374"/>
    <w:rsid w:val="43E5631B"/>
    <w:rsid w:val="43F5827C"/>
    <w:rsid w:val="43FFCEFC"/>
    <w:rsid w:val="4408320D"/>
    <w:rsid w:val="4408F896"/>
    <w:rsid w:val="441678CF"/>
    <w:rsid w:val="441A294A"/>
    <w:rsid w:val="4421FB7F"/>
    <w:rsid w:val="442E3E99"/>
    <w:rsid w:val="4437914A"/>
    <w:rsid w:val="44380095"/>
    <w:rsid w:val="4442A81C"/>
    <w:rsid w:val="4464F1F5"/>
    <w:rsid w:val="44681E87"/>
    <w:rsid w:val="447DE1A8"/>
    <w:rsid w:val="447FBDEA"/>
    <w:rsid w:val="448609A2"/>
    <w:rsid w:val="448DBB3C"/>
    <w:rsid w:val="44906E3F"/>
    <w:rsid w:val="44913D18"/>
    <w:rsid w:val="4493A74C"/>
    <w:rsid w:val="4499B191"/>
    <w:rsid w:val="44B90D46"/>
    <w:rsid w:val="44BC9493"/>
    <w:rsid w:val="44C08B53"/>
    <w:rsid w:val="44C13285"/>
    <w:rsid w:val="44C13D66"/>
    <w:rsid w:val="44CB0A93"/>
    <w:rsid w:val="44D38C1D"/>
    <w:rsid w:val="44E32D67"/>
    <w:rsid w:val="44E6F6A2"/>
    <w:rsid w:val="45007625"/>
    <w:rsid w:val="451276C3"/>
    <w:rsid w:val="4516BAF9"/>
    <w:rsid w:val="451CB51B"/>
    <w:rsid w:val="452FB8E1"/>
    <w:rsid w:val="4534548B"/>
    <w:rsid w:val="45352086"/>
    <w:rsid w:val="4536D8C3"/>
    <w:rsid w:val="45505C3E"/>
    <w:rsid w:val="455A9D15"/>
    <w:rsid w:val="455EE31C"/>
    <w:rsid w:val="45603B00"/>
    <w:rsid w:val="4562207E"/>
    <w:rsid w:val="4566EC27"/>
    <w:rsid w:val="4572F109"/>
    <w:rsid w:val="45740A1B"/>
    <w:rsid w:val="4588B5B0"/>
    <w:rsid w:val="459AD0CC"/>
    <w:rsid w:val="459DEC08"/>
    <w:rsid w:val="45A1BE82"/>
    <w:rsid w:val="45A52BA0"/>
    <w:rsid w:val="45B85E8E"/>
    <w:rsid w:val="45C367FF"/>
    <w:rsid w:val="45CA47AF"/>
    <w:rsid w:val="45D8D494"/>
    <w:rsid w:val="45DA795E"/>
    <w:rsid w:val="45E1C1EA"/>
    <w:rsid w:val="45FB40F8"/>
    <w:rsid w:val="460447AB"/>
    <w:rsid w:val="4605A7C6"/>
    <w:rsid w:val="460EACC7"/>
    <w:rsid w:val="46149A84"/>
    <w:rsid w:val="462726A4"/>
    <w:rsid w:val="46314A6C"/>
    <w:rsid w:val="463E23A8"/>
    <w:rsid w:val="464885BE"/>
    <w:rsid w:val="46558532"/>
    <w:rsid w:val="4658EDB0"/>
    <w:rsid w:val="465F3C97"/>
    <w:rsid w:val="46626D64"/>
    <w:rsid w:val="466EED6C"/>
    <w:rsid w:val="466FD9A6"/>
    <w:rsid w:val="4678BD99"/>
    <w:rsid w:val="468941FC"/>
    <w:rsid w:val="468FC4B9"/>
    <w:rsid w:val="469661FB"/>
    <w:rsid w:val="469EFEB7"/>
    <w:rsid w:val="46A0BE04"/>
    <w:rsid w:val="46AAC9D2"/>
    <w:rsid w:val="46ACFFCD"/>
    <w:rsid w:val="46BAF2FC"/>
    <w:rsid w:val="46D74319"/>
    <w:rsid w:val="46F31DD7"/>
    <w:rsid w:val="46FAF52B"/>
    <w:rsid w:val="47034C94"/>
    <w:rsid w:val="47057D55"/>
    <w:rsid w:val="471CDEC4"/>
    <w:rsid w:val="4730E9FF"/>
    <w:rsid w:val="47467BCD"/>
    <w:rsid w:val="474AC2F6"/>
    <w:rsid w:val="476CB9B6"/>
    <w:rsid w:val="476D49EA"/>
    <w:rsid w:val="476EA3F8"/>
    <w:rsid w:val="477240DF"/>
    <w:rsid w:val="47769F4B"/>
    <w:rsid w:val="477D7443"/>
    <w:rsid w:val="478AF294"/>
    <w:rsid w:val="479004F3"/>
    <w:rsid w:val="47915F8D"/>
    <w:rsid w:val="479533D6"/>
    <w:rsid w:val="4799BC31"/>
    <w:rsid w:val="479B4154"/>
    <w:rsid w:val="47BFB82B"/>
    <w:rsid w:val="47C9349C"/>
    <w:rsid w:val="47E02E1B"/>
    <w:rsid w:val="47E4D9D8"/>
    <w:rsid w:val="47ECB386"/>
    <w:rsid w:val="47F53073"/>
    <w:rsid w:val="47F8BF90"/>
    <w:rsid w:val="47FA7FA9"/>
    <w:rsid w:val="48079C38"/>
    <w:rsid w:val="482D79D9"/>
    <w:rsid w:val="4836A359"/>
    <w:rsid w:val="484414AB"/>
    <w:rsid w:val="484E61EB"/>
    <w:rsid w:val="4851B6FB"/>
    <w:rsid w:val="486131D7"/>
    <w:rsid w:val="4868E198"/>
    <w:rsid w:val="486FD81F"/>
    <w:rsid w:val="4874759A"/>
    <w:rsid w:val="487C969B"/>
    <w:rsid w:val="48833491"/>
    <w:rsid w:val="48838454"/>
    <w:rsid w:val="488D3825"/>
    <w:rsid w:val="488D9BAE"/>
    <w:rsid w:val="48AE11CE"/>
    <w:rsid w:val="48B421F2"/>
    <w:rsid w:val="48B99974"/>
    <w:rsid w:val="48CDEE7F"/>
    <w:rsid w:val="48E08129"/>
    <w:rsid w:val="48E45883"/>
    <w:rsid w:val="48E6CFC9"/>
    <w:rsid w:val="48EAF420"/>
    <w:rsid w:val="48ED0C44"/>
    <w:rsid w:val="4911FE6A"/>
    <w:rsid w:val="49273E1B"/>
    <w:rsid w:val="4937C74D"/>
    <w:rsid w:val="49381659"/>
    <w:rsid w:val="49388910"/>
    <w:rsid w:val="493AAC18"/>
    <w:rsid w:val="495769E7"/>
    <w:rsid w:val="4957C19D"/>
    <w:rsid w:val="495EE34C"/>
    <w:rsid w:val="495F1FF0"/>
    <w:rsid w:val="49655BB6"/>
    <w:rsid w:val="49752357"/>
    <w:rsid w:val="497BC2CE"/>
    <w:rsid w:val="49809C58"/>
    <w:rsid w:val="4983E12C"/>
    <w:rsid w:val="4989EE3E"/>
    <w:rsid w:val="498B3B36"/>
    <w:rsid w:val="49910001"/>
    <w:rsid w:val="499D527B"/>
    <w:rsid w:val="49A5E7C6"/>
    <w:rsid w:val="49AFB2D2"/>
    <w:rsid w:val="49BE21A4"/>
    <w:rsid w:val="49BFAE01"/>
    <w:rsid w:val="49CD279C"/>
    <w:rsid w:val="49CE1CFC"/>
    <w:rsid w:val="49DCC2F0"/>
    <w:rsid w:val="49E271EC"/>
    <w:rsid w:val="49E4138A"/>
    <w:rsid w:val="49E517E4"/>
    <w:rsid w:val="49ED7D06"/>
    <w:rsid w:val="49FD6FB0"/>
    <w:rsid w:val="4A0F6F54"/>
    <w:rsid w:val="4A143BC0"/>
    <w:rsid w:val="4A18881B"/>
    <w:rsid w:val="4A1DE1F8"/>
    <w:rsid w:val="4A1F6C22"/>
    <w:rsid w:val="4A2E7D14"/>
    <w:rsid w:val="4A348A89"/>
    <w:rsid w:val="4A38B60A"/>
    <w:rsid w:val="4A46A107"/>
    <w:rsid w:val="4A48D087"/>
    <w:rsid w:val="4A58E5E7"/>
    <w:rsid w:val="4A5A12B9"/>
    <w:rsid w:val="4A5FE2FE"/>
    <w:rsid w:val="4A6C722D"/>
    <w:rsid w:val="4A7436B3"/>
    <w:rsid w:val="4A824300"/>
    <w:rsid w:val="4A838BEF"/>
    <w:rsid w:val="4A84C0EC"/>
    <w:rsid w:val="4A84FC44"/>
    <w:rsid w:val="4A882667"/>
    <w:rsid w:val="4A928734"/>
    <w:rsid w:val="4A95DBAC"/>
    <w:rsid w:val="4A9B31B4"/>
    <w:rsid w:val="4A9FB254"/>
    <w:rsid w:val="4AA07D42"/>
    <w:rsid w:val="4AA6C9BC"/>
    <w:rsid w:val="4AB15E39"/>
    <w:rsid w:val="4AC681B4"/>
    <w:rsid w:val="4ACEA117"/>
    <w:rsid w:val="4AE716DB"/>
    <w:rsid w:val="4AF044D4"/>
    <w:rsid w:val="4AFED7C0"/>
    <w:rsid w:val="4B1F9EEB"/>
    <w:rsid w:val="4B226EE0"/>
    <w:rsid w:val="4B3365E9"/>
    <w:rsid w:val="4B3C6E2F"/>
    <w:rsid w:val="4B57AAE8"/>
    <w:rsid w:val="4B63AA38"/>
    <w:rsid w:val="4B6BA7B7"/>
    <w:rsid w:val="4B74179E"/>
    <w:rsid w:val="4B7EB50D"/>
    <w:rsid w:val="4B7ED68B"/>
    <w:rsid w:val="4B8171EC"/>
    <w:rsid w:val="4B8C1CFA"/>
    <w:rsid w:val="4BA3320B"/>
    <w:rsid w:val="4BB7D08C"/>
    <w:rsid w:val="4BBAC203"/>
    <w:rsid w:val="4BC1C226"/>
    <w:rsid w:val="4BD00358"/>
    <w:rsid w:val="4BD31558"/>
    <w:rsid w:val="4BD49556"/>
    <w:rsid w:val="4BD7A0F1"/>
    <w:rsid w:val="4BD869D4"/>
    <w:rsid w:val="4BDDB57D"/>
    <w:rsid w:val="4BDFE8AC"/>
    <w:rsid w:val="4BE0491F"/>
    <w:rsid w:val="4BE1D0AD"/>
    <w:rsid w:val="4BE66A32"/>
    <w:rsid w:val="4BEEE8AE"/>
    <w:rsid w:val="4BEFFB08"/>
    <w:rsid w:val="4BF72BD0"/>
    <w:rsid w:val="4C007E33"/>
    <w:rsid w:val="4C0C348A"/>
    <w:rsid w:val="4C0EE341"/>
    <w:rsid w:val="4C104BA1"/>
    <w:rsid w:val="4C1C7AF0"/>
    <w:rsid w:val="4C1FBCFC"/>
    <w:rsid w:val="4C20D903"/>
    <w:rsid w:val="4C246208"/>
    <w:rsid w:val="4C275BAC"/>
    <w:rsid w:val="4C355648"/>
    <w:rsid w:val="4C3AB989"/>
    <w:rsid w:val="4C3AF5E0"/>
    <w:rsid w:val="4C3FB8FD"/>
    <w:rsid w:val="4C45BA69"/>
    <w:rsid w:val="4C4747B8"/>
    <w:rsid w:val="4C61DA25"/>
    <w:rsid w:val="4C6DC67D"/>
    <w:rsid w:val="4C87882B"/>
    <w:rsid w:val="4C885C94"/>
    <w:rsid w:val="4C8DFE02"/>
    <w:rsid w:val="4C90D26F"/>
    <w:rsid w:val="4C977E9D"/>
    <w:rsid w:val="4CA3A157"/>
    <w:rsid w:val="4CAC8E91"/>
    <w:rsid w:val="4CAD9F92"/>
    <w:rsid w:val="4CB125F7"/>
    <w:rsid w:val="4CC06B3A"/>
    <w:rsid w:val="4CD4B7C7"/>
    <w:rsid w:val="4CEB9FC1"/>
    <w:rsid w:val="4CEF883C"/>
    <w:rsid w:val="4CF31F34"/>
    <w:rsid w:val="4CF5099E"/>
    <w:rsid w:val="4CF53E12"/>
    <w:rsid w:val="4D0159B1"/>
    <w:rsid w:val="4D03FD10"/>
    <w:rsid w:val="4D158FDC"/>
    <w:rsid w:val="4D1642F5"/>
    <w:rsid w:val="4D17C0C0"/>
    <w:rsid w:val="4D2213A9"/>
    <w:rsid w:val="4D227F49"/>
    <w:rsid w:val="4D27B74E"/>
    <w:rsid w:val="4D328DBF"/>
    <w:rsid w:val="4D45FB9A"/>
    <w:rsid w:val="4D587AF4"/>
    <w:rsid w:val="4D72D11E"/>
    <w:rsid w:val="4D7ACB2A"/>
    <w:rsid w:val="4D96B179"/>
    <w:rsid w:val="4D9F28A0"/>
    <w:rsid w:val="4DAB25FA"/>
    <w:rsid w:val="4DB4F9F0"/>
    <w:rsid w:val="4DC92422"/>
    <w:rsid w:val="4DD3FB21"/>
    <w:rsid w:val="4DE40A5B"/>
    <w:rsid w:val="4DEA3C31"/>
    <w:rsid w:val="4DFE7DD7"/>
    <w:rsid w:val="4E02E70C"/>
    <w:rsid w:val="4E131E15"/>
    <w:rsid w:val="4E1BF04F"/>
    <w:rsid w:val="4E1D9192"/>
    <w:rsid w:val="4E32B5A8"/>
    <w:rsid w:val="4E36F69B"/>
    <w:rsid w:val="4E38D56D"/>
    <w:rsid w:val="4E4BCBAA"/>
    <w:rsid w:val="4E5B6DB4"/>
    <w:rsid w:val="4E5DA374"/>
    <w:rsid w:val="4E5EF0DF"/>
    <w:rsid w:val="4E6714C2"/>
    <w:rsid w:val="4E7667DE"/>
    <w:rsid w:val="4E84BBFB"/>
    <w:rsid w:val="4E8B1172"/>
    <w:rsid w:val="4E8C4ED4"/>
    <w:rsid w:val="4E91AF31"/>
    <w:rsid w:val="4E95DADD"/>
    <w:rsid w:val="4EA11EEA"/>
    <w:rsid w:val="4EB94383"/>
    <w:rsid w:val="4EC09B65"/>
    <w:rsid w:val="4EC91FB3"/>
    <w:rsid w:val="4ECC34F8"/>
    <w:rsid w:val="4ED33DB6"/>
    <w:rsid w:val="4EED6751"/>
    <w:rsid w:val="4EF04A10"/>
    <w:rsid w:val="4EF42887"/>
    <w:rsid w:val="4EF4F190"/>
    <w:rsid w:val="4EF70ADE"/>
    <w:rsid w:val="4F17FFED"/>
    <w:rsid w:val="4F1D6FEA"/>
    <w:rsid w:val="4F28AEBC"/>
    <w:rsid w:val="4F2E5D7F"/>
    <w:rsid w:val="4F3C3A60"/>
    <w:rsid w:val="4F43700F"/>
    <w:rsid w:val="4F57FFEC"/>
    <w:rsid w:val="4F67C9A6"/>
    <w:rsid w:val="4F707069"/>
    <w:rsid w:val="4F779521"/>
    <w:rsid w:val="4F9C26C0"/>
    <w:rsid w:val="4F9C4E53"/>
    <w:rsid w:val="4FAF5F1F"/>
    <w:rsid w:val="4FBB1027"/>
    <w:rsid w:val="4FBFCBDD"/>
    <w:rsid w:val="4FE47109"/>
    <w:rsid w:val="4FECE99A"/>
    <w:rsid w:val="4FF214AF"/>
    <w:rsid w:val="4FF812C8"/>
    <w:rsid w:val="4FF8EC7F"/>
    <w:rsid w:val="4FFA09B9"/>
    <w:rsid w:val="50138A5D"/>
    <w:rsid w:val="501EEDF2"/>
    <w:rsid w:val="502694DB"/>
    <w:rsid w:val="5026A4B7"/>
    <w:rsid w:val="5049583F"/>
    <w:rsid w:val="504C0D0D"/>
    <w:rsid w:val="50527DFD"/>
    <w:rsid w:val="50648891"/>
    <w:rsid w:val="5076A4C9"/>
    <w:rsid w:val="508210CA"/>
    <w:rsid w:val="5083699A"/>
    <w:rsid w:val="50880C04"/>
    <w:rsid w:val="508FD964"/>
    <w:rsid w:val="509E3926"/>
    <w:rsid w:val="50A0C0AA"/>
    <w:rsid w:val="50A19B97"/>
    <w:rsid w:val="50A565EB"/>
    <w:rsid w:val="50AC44D6"/>
    <w:rsid w:val="50AC7136"/>
    <w:rsid w:val="50B4CB70"/>
    <w:rsid w:val="50BFCDD5"/>
    <w:rsid w:val="50CA7267"/>
    <w:rsid w:val="50CFE95F"/>
    <w:rsid w:val="50D2891F"/>
    <w:rsid w:val="50E41FA8"/>
    <w:rsid w:val="51041DE7"/>
    <w:rsid w:val="510449C9"/>
    <w:rsid w:val="51052A12"/>
    <w:rsid w:val="5105E109"/>
    <w:rsid w:val="510990E7"/>
    <w:rsid w:val="51154314"/>
    <w:rsid w:val="5117509F"/>
    <w:rsid w:val="51212847"/>
    <w:rsid w:val="51374479"/>
    <w:rsid w:val="514556A7"/>
    <w:rsid w:val="51477F34"/>
    <w:rsid w:val="51481637"/>
    <w:rsid w:val="514E899C"/>
    <w:rsid w:val="514FE360"/>
    <w:rsid w:val="51506B1D"/>
    <w:rsid w:val="5154C635"/>
    <w:rsid w:val="515704A4"/>
    <w:rsid w:val="516F6BB4"/>
    <w:rsid w:val="516FD604"/>
    <w:rsid w:val="5176E7B2"/>
    <w:rsid w:val="5186A8CB"/>
    <w:rsid w:val="5196E64D"/>
    <w:rsid w:val="5199F35D"/>
    <w:rsid w:val="51A6C5BA"/>
    <w:rsid w:val="51A81011"/>
    <w:rsid w:val="51B0D395"/>
    <w:rsid w:val="51B47354"/>
    <w:rsid w:val="51B57805"/>
    <w:rsid w:val="51BBBFF2"/>
    <w:rsid w:val="51CB620F"/>
    <w:rsid w:val="51E4F63A"/>
    <w:rsid w:val="51F7F785"/>
    <w:rsid w:val="51FD73A2"/>
    <w:rsid w:val="5200E604"/>
    <w:rsid w:val="5201BC61"/>
    <w:rsid w:val="520E3C25"/>
    <w:rsid w:val="5221E211"/>
    <w:rsid w:val="5228C612"/>
    <w:rsid w:val="522BDAF6"/>
    <w:rsid w:val="522C6388"/>
    <w:rsid w:val="523F934F"/>
    <w:rsid w:val="5243B02B"/>
    <w:rsid w:val="52458914"/>
    <w:rsid w:val="524B97F6"/>
    <w:rsid w:val="5257ECE9"/>
    <w:rsid w:val="526FAE76"/>
    <w:rsid w:val="5271EFE1"/>
    <w:rsid w:val="52721A6D"/>
    <w:rsid w:val="5276305E"/>
    <w:rsid w:val="527EDFDD"/>
    <w:rsid w:val="5285843E"/>
    <w:rsid w:val="528C9D9C"/>
    <w:rsid w:val="529081EF"/>
    <w:rsid w:val="529572F9"/>
    <w:rsid w:val="52A556A7"/>
    <w:rsid w:val="52A877F1"/>
    <w:rsid w:val="52AD6962"/>
    <w:rsid w:val="52B372C9"/>
    <w:rsid w:val="52B542E5"/>
    <w:rsid w:val="52BA4BB3"/>
    <w:rsid w:val="52BD80E5"/>
    <w:rsid w:val="52CA284F"/>
    <w:rsid w:val="52CCC0A6"/>
    <w:rsid w:val="52CDA2D0"/>
    <w:rsid w:val="52D2677C"/>
    <w:rsid w:val="52D48CF0"/>
    <w:rsid w:val="52D70CD3"/>
    <w:rsid w:val="52E01447"/>
    <w:rsid w:val="52E6B14D"/>
    <w:rsid w:val="52F0A329"/>
    <w:rsid w:val="52F759E1"/>
    <w:rsid w:val="52F970A7"/>
    <w:rsid w:val="53050EAA"/>
    <w:rsid w:val="5321BE92"/>
    <w:rsid w:val="53266A22"/>
    <w:rsid w:val="532B97AC"/>
    <w:rsid w:val="53357C1C"/>
    <w:rsid w:val="5349F575"/>
    <w:rsid w:val="534C5516"/>
    <w:rsid w:val="5356C94A"/>
    <w:rsid w:val="535FA069"/>
    <w:rsid w:val="536A67BB"/>
    <w:rsid w:val="53710186"/>
    <w:rsid w:val="5374C84A"/>
    <w:rsid w:val="5376EDE6"/>
    <w:rsid w:val="537A307E"/>
    <w:rsid w:val="538C754C"/>
    <w:rsid w:val="5394BD7F"/>
    <w:rsid w:val="53A3E590"/>
    <w:rsid w:val="53A4D7C6"/>
    <w:rsid w:val="53C52309"/>
    <w:rsid w:val="53C870B1"/>
    <w:rsid w:val="53CEB7D0"/>
    <w:rsid w:val="53D0F3AA"/>
    <w:rsid w:val="53DEF7DD"/>
    <w:rsid w:val="53ED457F"/>
    <w:rsid w:val="53EDED3A"/>
    <w:rsid w:val="53EEBC20"/>
    <w:rsid w:val="53FAA550"/>
    <w:rsid w:val="54029249"/>
    <w:rsid w:val="5402D5F1"/>
    <w:rsid w:val="5402F6E7"/>
    <w:rsid w:val="540F2011"/>
    <w:rsid w:val="54114534"/>
    <w:rsid w:val="54214536"/>
    <w:rsid w:val="5421CBFF"/>
    <w:rsid w:val="542A3E5A"/>
    <w:rsid w:val="542E0E9B"/>
    <w:rsid w:val="544B9055"/>
    <w:rsid w:val="5452B0D6"/>
    <w:rsid w:val="545C41C9"/>
    <w:rsid w:val="548E7069"/>
    <w:rsid w:val="54986D69"/>
    <w:rsid w:val="549A5EC9"/>
    <w:rsid w:val="54AC3334"/>
    <w:rsid w:val="54AF3D11"/>
    <w:rsid w:val="54B3DC7D"/>
    <w:rsid w:val="54B61974"/>
    <w:rsid w:val="54B79560"/>
    <w:rsid w:val="54C0D4C2"/>
    <w:rsid w:val="54C59819"/>
    <w:rsid w:val="54DA0A89"/>
    <w:rsid w:val="54DEFDB9"/>
    <w:rsid w:val="54E307B7"/>
    <w:rsid w:val="54E88C98"/>
    <w:rsid w:val="54FE1507"/>
    <w:rsid w:val="553785B6"/>
    <w:rsid w:val="5543AB5F"/>
    <w:rsid w:val="554D2820"/>
    <w:rsid w:val="5560079C"/>
    <w:rsid w:val="5560AA46"/>
    <w:rsid w:val="5562326B"/>
    <w:rsid w:val="55668D9C"/>
    <w:rsid w:val="55677969"/>
    <w:rsid w:val="5575CEB5"/>
    <w:rsid w:val="557D799D"/>
    <w:rsid w:val="5580FE44"/>
    <w:rsid w:val="55A2E0D3"/>
    <w:rsid w:val="55A4495E"/>
    <w:rsid w:val="55BDC8AB"/>
    <w:rsid w:val="55CFD62B"/>
    <w:rsid w:val="55D2B34E"/>
    <w:rsid w:val="55DD0695"/>
    <w:rsid w:val="55DD2930"/>
    <w:rsid w:val="55DDCAD2"/>
    <w:rsid w:val="55FEE6CF"/>
    <w:rsid w:val="56041F1B"/>
    <w:rsid w:val="560C12D8"/>
    <w:rsid w:val="56134615"/>
    <w:rsid w:val="56251A2B"/>
    <w:rsid w:val="5649A7A1"/>
    <w:rsid w:val="5651BF26"/>
    <w:rsid w:val="56620F4F"/>
    <w:rsid w:val="56683190"/>
    <w:rsid w:val="566BF571"/>
    <w:rsid w:val="566EB22A"/>
    <w:rsid w:val="567470EB"/>
    <w:rsid w:val="56748B60"/>
    <w:rsid w:val="568960FE"/>
    <w:rsid w:val="569187BD"/>
    <w:rsid w:val="5692969E"/>
    <w:rsid w:val="56957334"/>
    <w:rsid w:val="569BD21A"/>
    <w:rsid w:val="56A4212D"/>
    <w:rsid w:val="56B156F0"/>
    <w:rsid w:val="56B3BA23"/>
    <w:rsid w:val="56B56A47"/>
    <w:rsid w:val="56B5D07E"/>
    <w:rsid w:val="56C7440A"/>
    <w:rsid w:val="56C7CCE2"/>
    <w:rsid w:val="56CDC193"/>
    <w:rsid w:val="56D4086E"/>
    <w:rsid w:val="56D451BF"/>
    <w:rsid w:val="56D48995"/>
    <w:rsid w:val="56DD440B"/>
    <w:rsid w:val="56E4133A"/>
    <w:rsid w:val="56ED1F66"/>
    <w:rsid w:val="56F89BF1"/>
    <w:rsid w:val="56FD21D4"/>
    <w:rsid w:val="56FE4214"/>
    <w:rsid w:val="570104B9"/>
    <w:rsid w:val="5713B405"/>
    <w:rsid w:val="57285826"/>
    <w:rsid w:val="5728A765"/>
    <w:rsid w:val="572B145B"/>
    <w:rsid w:val="57339B45"/>
    <w:rsid w:val="5734FB2A"/>
    <w:rsid w:val="57356196"/>
    <w:rsid w:val="5736C562"/>
    <w:rsid w:val="574412F4"/>
    <w:rsid w:val="574AF0F6"/>
    <w:rsid w:val="5758BD20"/>
    <w:rsid w:val="575D07BB"/>
    <w:rsid w:val="5767F1C9"/>
    <w:rsid w:val="57691045"/>
    <w:rsid w:val="576D2EF8"/>
    <w:rsid w:val="57755FE2"/>
    <w:rsid w:val="5779B2BA"/>
    <w:rsid w:val="577EC74B"/>
    <w:rsid w:val="578EDE51"/>
    <w:rsid w:val="5796BDA3"/>
    <w:rsid w:val="5799AC70"/>
    <w:rsid w:val="579BC0E3"/>
    <w:rsid w:val="57A03F74"/>
    <w:rsid w:val="57A07584"/>
    <w:rsid w:val="57A62357"/>
    <w:rsid w:val="57B0BD62"/>
    <w:rsid w:val="57B19161"/>
    <w:rsid w:val="57B65304"/>
    <w:rsid w:val="57BACA07"/>
    <w:rsid w:val="57C5BCD5"/>
    <w:rsid w:val="57C79191"/>
    <w:rsid w:val="57CEA96C"/>
    <w:rsid w:val="57DE7ABE"/>
    <w:rsid w:val="57F9114C"/>
    <w:rsid w:val="57FA1D61"/>
    <w:rsid w:val="57FD7DE1"/>
    <w:rsid w:val="580AA643"/>
    <w:rsid w:val="58300FFA"/>
    <w:rsid w:val="58342A57"/>
    <w:rsid w:val="583C6A64"/>
    <w:rsid w:val="5840BF50"/>
    <w:rsid w:val="58466A1D"/>
    <w:rsid w:val="5853B5FC"/>
    <w:rsid w:val="5862668C"/>
    <w:rsid w:val="586B3469"/>
    <w:rsid w:val="587A6FD9"/>
    <w:rsid w:val="58943C2F"/>
    <w:rsid w:val="589DCE2F"/>
    <w:rsid w:val="58A114A9"/>
    <w:rsid w:val="58A3DEA4"/>
    <w:rsid w:val="58B68A61"/>
    <w:rsid w:val="58B95BCB"/>
    <w:rsid w:val="58E05257"/>
    <w:rsid w:val="58E488BA"/>
    <w:rsid w:val="58EB3428"/>
    <w:rsid w:val="58F86B7A"/>
    <w:rsid w:val="58F8BB7D"/>
    <w:rsid w:val="590B2D40"/>
    <w:rsid w:val="5928C3D1"/>
    <w:rsid w:val="5936773D"/>
    <w:rsid w:val="59399070"/>
    <w:rsid w:val="593E2F94"/>
    <w:rsid w:val="593FCEC1"/>
    <w:rsid w:val="5949C4C0"/>
    <w:rsid w:val="594D9BC1"/>
    <w:rsid w:val="5953D23C"/>
    <w:rsid w:val="59576905"/>
    <w:rsid w:val="59579CDE"/>
    <w:rsid w:val="5957AC94"/>
    <w:rsid w:val="59634926"/>
    <w:rsid w:val="59651948"/>
    <w:rsid w:val="5974CB60"/>
    <w:rsid w:val="597AFECC"/>
    <w:rsid w:val="598BDEE4"/>
    <w:rsid w:val="59979F08"/>
    <w:rsid w:val="599D6345"/>
    <w:rsid w:val="59A1D2F7"/>
    <w:rsid w:val="59B5C6D9"/>
    <w:rsid w:val="59B95C8D"/>
    <w:rsid w:val="59BF0CA2"/>
    <w:rsid w:val="59C51052"/>
    <w:rsid w:val="59CEAB18"/>
    <w:rsid w:val="59D1C16F"/>
    <w:rsid w:val="59D68F97"/>
    <w:rsid w:val="59DD1A85"/>
    <w:rsid w:val="59E7CB09"/>
    <w:rsid w:val="59ED3DC6"/>
    <w:rsid w:val="59FD05DE"/>
    <w:rsid w:val="59FE40AD"/>
    <w:rsid w:val="5A049AFF"/>
    <w:rsid w:val="5A08BCA3"/>
    <w:rsid w:val="5A1796C5"/>
    <w:rsid w:val="5A1D3BE0"/>
    <w:rsid w:val="5A202651"/>
    <w:rsid w:val="5A2A6011"/>
    <w:rsid w:val="5A2C6913"/>
    <w:rsid w:val="5A3F53DF"/>
    <w:rsid w:val="5A48442D"/>
    <w:rsid w:val="5A588341"/>
    <w:rsid w:val="5A5FDC12"/>
    <w:rsid w:val="5A631E44"/>
    <w:rsid w:val="5A750228"/>
    <w:rsid w:val="5A81034F"/>
    <w:rsid w:val="5AB2ACE7"/>
    <w:rsid w:val="5AB8C3FD"/>
    <w:rsid w:val="5AC09B87"/>
    <w:rsid w:val="5AD33AFE"/>
    <w:rsid w:val="5AD3E6DE"/>
    <w:rsid w:val="5AE0164A"/>
    <w:rsid w:val="5AEE1C74"/>
    <w:rsid w:val="5AFC40BD"/>
    <w:rsid w:val="5B03CC84"/>
    <w:rsid w:val="5B05A829"/>
    <w:rsid w:val="5B072A8F"/>
    <w:rsid w:val="5B1168B5"/>
    <w:rsid w:val="5B1B7542"/>
    <w:rsid w:val="5B2027AE"/>
    <w:rsid w:val="5B27F55F"/>
    <w:rsid w:val="5B324475"/>
    <w:rsid w:val="5B3D0884"/>
    <w:rsid w:val="5B4A6ED3"/>
    <w:rsid w:val="5B4D9D7E"/>
    <w:rsid w:val="5B4FB3C8"/>
    <w:rsid w:val="5B53FAF6"/>
    <w:rsid w:val="5B58A8FB"/>
    <w:rsid w:val="5B5D750A"/>
    <w:rsid w:val="5B6A8426"/>
    <w:rsid w:val="5B6B7D44"/>
    <w:rsid w:val="5B719936"/>
    <w:rsid w:val="5B788DE8"/>
    <w:rsid w:val="5B80FB5B"/>
    <w:rsid w:val="5B9A76EF"/>
    <w:rsid w:val="5BA395EB"/>
    <w:rsid w:val="5BACBEB4"/>
    <w:rsid w:val="5BAE83CA"/>
    <w:rsid w:val="5BB4291F"/>
    <w:rsid w:val="5BB6E4C9"/>
    <w:rsid w:val="5BCE09E9"/>
    <w:rsid w:val="5BD2EC0A"/>
    <w:rsid w:val="5BD2F6EB"/>
    <w:rsid w:val="5BD44013"/>
    <w:rsid w:val="5BDFA9FB"/>
    <w:rsid w:val="5BEA23C7"/>
    <w:rsid w:val="5BF0D87C"/>
    <w:rsid w:val="5BFB24F1"/>
    <w:rsid w:val="5BFDA4E6"/>
    <w:rsid w:val="5C090A76"/>
    <w:rsid w:val="5C09F5CA"/>
    <w:rsid w:val="5C0B0AA6"/>
    <w:rsid w:val="5C1D167B"/>
    <w:rsid w:val="5C20206F"/>
    <w:rsid w:val="5C207892"/>
    <w:rsid w:val="5C21CFFA"/>
    <w:rsid w:val="5C2C81BC"/>
    <w:rsid w:val="5C471BFB"/>
    <w:rsid w:val="5C535D68"/>
    <w:rsid w:val="5C6D40B3"/>
    <w:rsid w:val="5C73E4E8"/>
    <w:rsid w:val="5C7660DE"/>
    <w:rsid w:val="5C76B9AB"/>
    <w:rsid w:val="5C8480A3"/>
    <w:rsid w:val="5C8A79F2"/>
    <w:rsid w:val="5C8C3E14"/>
    <w:rsid w:val="5C8CD29E"/>
    <w:rsid w:val="5C8E898B"/>
    <w:rsid w:val="5CA99E7D"/>
    <w:rsid w:val="5CB777B6"/>
    <w:rsid w:val="5CB7E981"/>
    <w:rsid w:val="5CB8E0C5"/>
    <w:rsid w:val="5CBF0CFC"/>
    <w:rsid w:val="5CC21AF9"/>
    <w:rsid w:val="5CC4FCD2"/>
    <w:rsid w:val="5CD2BE07"/>
    <w:rsid w:val="5CD3E245"/>
    <w:rsid w:val="5CDAA019"/>
    <w:rsid w:val="5CE79819"/>
    <w:rsid w:val="5CF9B64F"/>
    <w:rsid w:val="5CFC9FB3"/>
    <w:rsid w:val="5D00FFA1"/>
    <w:rsid w:val="5D02B6B9"/>
    <w:rsid w:val="5D0DAA3E"/>
    <w:rsid w:val="5D109BA4"/>
    <w:rsid w:val="5D12E0A1"/>
    <w:rsid w:val="5D1A454E"/>
    <w:rsid w:val="5D2BE735"/>
    <w:rsid w:val="5D2DCEE0"/>
    <w:rsid w:val="5D30685D"/>
    <w:rsid w:val="5D4AE1A1"/>
    <w:rsid w:val="5D4B3E26"/>
    <w:rsid w:val="5D623756"/>
    <w:rsid w:val="5D70D431"/>
    <w:rsid w:val="5D7CD089"/>
    <w:rsid w:val="5D8A3C74"/>
    <w:rsid w:val="5D8D91CA"/>
    <w:rsid w:val="5D9F85B1"/>
    <w:rsid w:val="5DB08482"/>
    <w:rsid w:val="5DC49BDA"/>
    <w:rsid w:val="5DD1B292"/>
    <w:rsid w:val="5DE5F940"/>
    <w:rsid w:val="5DF9D915"/>
    <w:rsid w:val="5DFCDD48"/>
    <w:rsid w:val="5E0844C0"/>
    <w:rsid w:val="5E0C7A65"/>
    <w:rsid w:val="5E110E58"/>
    <w:rsid w:val="5E183DCB"/>
    <w:rsid w:val="5E18943A"/>
    <w:rsid w:val="5E340CCA"/>
    <w:rsid w:val="5E349AAC"/>
    <w:rsid w:val="5E371093"/>
    <w:rsid w:val="5E42F8E2"/>
    <w:rsid w:val="5E4CAEED"/>
    <w:rsid w:val="5E5827B1"/>
    <w:rsid w:val="5E74BED5"/>
    <w:rsid w:val="5E99B4C8"/>
    <w:rsid w:val="5EA44711"/>
    <w:rsid w:val="5EAC542D"/>
    <w:rsid w:val="5EAC989A"/>
    <w:rsid w:val="5EBC9585"/>
    <w:rsid w:val="5EC1187D"/>
    <w:rsid w:val="5EC18580"/>
    <w:rsid w:val="5ED6422C"/>
    <w:rsid w:val="5ED76390"/>
    <w:rsid w:val="5EEBB82A"/>
    <w:rsid w:val="5EEE5FC8"/>
    <w:rsid w:val="5EF82F0D"/>
    <w:rsid w:val="5F0DFAF9"/>
    <w:rsid w:val="5F0E897D"/>
    <w:rsid w:val="5F275908"/>
    <w:rsid w:val="5F29C0A9"/>
    <w:rsid w:val="5F29FD05"/>
    <w:rsid w:val="5F3A0FEE"/>
    <w:rsid w:val="5F410705"/>
    <w:rsid w:val="5F42A4CE"/>
    <w:rsid w:val="5F4DD2A3"/>
    <w:rsid w:val="5F4FCBA0"/>
    <w:rsid w:val="5F5055E8"/>
    <w:rsid w:val="5F538BB1"/>
    <w:rsid w:val="5F5E1631"/>
    <w:rsid w:val="5F72CEF8"/>
    <w:rsid w:val="5F79C920"/>
    <w:rsid w:val="5F7BC697"/>
    <w:rsid w:val="5F7F995F"/>
    <w:rsid w:val="5F850B77"/>
    <w:rsid w:val="5F8E0B9B"/>
    <w:rsid w:val="5FA30581"/>
    <w:rsid w:val="5FA38F7A"/>
    <w:rsid w:val="5FB85F09"/>
    <w:rsid w:val="5FC65D91"/>
    <w:rsid w:val="5FC7EE00"/>
    <w:rsid w:val="5FCC7862"/>
    <w:rsid w:val="5FCFF32B"/>
    <w:rsid w:val="5FD0B3B5"/>
    <w:rsid w:val="5FD8D135"/>
    <w:rsid w:val="5FDDD9D6"/>
    <w:rsid w:val="5FE1DFDD"/>
    <w:rsid w:val="5FEA3E00"/>
    <w:rsid w:val="5FF319FC"/>
    <w:rsid w:val="5FF35DCD"/>
    <w:rsid w:val="60008DF6"/>
    <w:rsid w:val="6009859E"/>
    <w:rsid w:val="600D2CDA"/>
    <w:rsid w:val="6012CB82"/>
    <w:rsid w:val="601BF01C"/>
    <w:rsid w:val="6026E7EA"/>
    <w:rsid w:val="604830CA"/>
    <w:rsid w:val="605D83C4"/>
    <w:rsid w:val="6060FB5D"/>
    <w:rsid w:val="6065A6D3"/>
    <w:rsid w:val="60743652"/>
    <w:rsid w:val="60793098"/>
    <w:rsid w:val="607DF3D4"/>
    <w:rsid w:val="6080D34C"/>
    <w:rsid w:val="60825AF1"/>
    <w:rsid w:val="608B480E"/>
    <w:rsid w:val="60A84E9E"/>
    <w:rsid w:val="60AAB852"/>
    <w:rsid w:val="60AE3840"/>
    <w:rsid w:val="60B9EBB6"/>
    <w:rsid w:val="60C16A2B"/>
    <w:rsid w:val="60C3C870"/>
    <w:rsid w:val="60D9FBFB"/>
    <w:rsid w:val="60E56B73"/>
    <w:rsid w:val="60E67792"/>
    <w:rsid w:val="60F86584"/>
    <w:rsid w:val="6102755C"/>
    <w:rsid w:val="61097ED1"/>
    <w:rsid w:val="61240B8D"/>
    <w:rsid w:val="612F330F"/>
    <w:rsid w:val="6137083E"/>
    <w:rsid w:val="61442ED9"/>
    <w:rsid w:val="61508E74"/>
    <w:rsid w:val="6153F99C"/>
    <w:rsid w:val="615BAF7B"/>
    <w:rsid w:val="615C91CA"/>
    <w:rsid w:val="615CC62F"/>
    <w:rsid w:val="6164A21C"/>
    <w:rsid w:val="616FC64D"/>
    <w:rsid w:val="617FE2A1"/>
    <w:rsid w:val="61808E7F"/>
    <w:rsid w:val="61862D12"/>
    <w:rsid w:val="61986AD2"/>
    <w:rsid w:val="61A41451"/>
    <w:rsid w:val="61A541AE"/>
    <w:rsid w:val="61A57777"/>
    <w:rsid w:val="61A72AAB"/>
    <w:rsid w:val="61A8B21A"/>
    <w:rsid w:val="61B712B4"/>
    <w:rsid w:val="61D2B9E9"/>
    <w:rsid w:val="61E01AAA"/>
    <w:rsid w:val="61FE109A"/>
    <w:rsid w:val="620065A7"/>
    <w:rsid w:val="62009C34"/>
    <w:rsid w:val="62332215"/>
    <w:rsid w:val="6237630E"/>
    <w:rsid w:val="623CD912"/>
    <w:rsid w:val="62441BB3"/>
    <w:rsid w:val="624752BE"/>
    <w:rsid w:val="6248E0E2"/>
    <w:rsid w:val="6252C2A7"/>
    <w:rsid w:val="62535E56"/>
    <w:rsid w:val="625478F8"/>
    <w:rsid w:val="626308C3"/>
    <w:rsid w:val="62707F73"/>
    <w:rsid w:val="6270AD46"/>
    <w:rsid w:val="629370A3"/>
    <w:rsid w:val="629A9B82"/>
    <w:rsid w:val="62AB4A9A"/>
    <w:rsid w:val="62CF61B2"/>
    <w:rsid w:val="62D60160"/>
    <w:rsid w:val="62E88546"/>
    <w:rsid w:val="62F8C068"/>
    <w:rsid w:val="62FAE46F"/>
    <w:rsid w:val="63044E5B"/>
    <w:rsid w:val="63047098"/>
    <w:rsid w:val="6307F37A"/>
    <w:rsid w:val="63178094"/>
    <w:rsid w:val="631D1262"/>
    <w:rsid w:val="631EBABF"/>
    <w:rsid w:val="6331ACDD"/>
    <w:rsid w:val="63350FF7"/>
    <w:rsid w:val="63357225"/>
    <w:rsid w:val="63463587"/>
    <w:rsid w:val="634E51A1"/>
    <w:rsid w:val="6351F48D"/>
    <w:rsid w:val="635698DC"/>
    <w:rsid w:val="6360B997"/>
    <w:rsid w:val="636A4E91"/>
    <w:rsid w:val="636D6CD6"/>
    <w:rsid w:val="63771AD1"/>
    <w:rsid w:val="637E2085"/>
    <w:rsid w:val="6399DD7E"/>
    <w:rsid w:val="639A94E7"/>
    <w:rsid w:val="639D5DD9"/>
    <w:rsid w:val="63A92BB3"/>
    <w:rsid w:val="63B1229D"/>
    <w:rsid w:val="63C6AD6A"/>
    <w:rsid w:val="63CB1FAB"/>
    <w:rsid w:val="63F3BC9D"/>
    <w:rsid w:val="640CCC4D"/>
    <w:rsid w:val="641CAA9E"/>
    <w:rsid w:val="642AC1EB"/>
    <w:rsid w:val="642FC1C0"/>
    <w:rsid w:val="643ABAB4"/>
    <w:rsid w:val="644521FE"/>
    <w:rsid w:val="645052A6"/>
    <w:rsid w:val="645C1923"/>
    <w:rsid w:val="645DE90D"/>
    <w:rsid w:val="645E27AF"/>
    <w:rsid w:val="6465B770"/>
    <w:rsid w:val="646BD13D"/>
    <w:rsid w:val="648178F1"/>
    <w:rsid w:val="648D61A1"/>
    <w:rsid w:val="648D6C55"/>
    <w:rsid w:val="648DEA6B"/>
    <w:rsid w:val="6490E313"/>
    <w:rsid w:val="6491E0B2"/>
    <w:rsid w:val="649839A0"/>
    <w:rsid w:val="649DAC91"/>
    <w:rsid w:val="64A26198"/>
    <w:rsid w:val="64AD5587"/>
    <w:rsid w:val="64B24025"/>
    <w:rsid w:val="64B8F269"/>
    <w:rsid w:val="64BCAF8C"/>
    <w:rsid w:val="64C8AEF2"/>
    <w:rsid w:val="64C902DD"/>
    <w:rsid w:val="64CACFDD"/>
    <w:rsid w:val="64D3E8E9"/>
    <w:rsid w:val="64D54D3A"/>
    <w:rsid w:val="64D613D0"/>
    <w:rsid w:val="64D6B113"/>
    <w:rsid w:val="64D85590"/>
    <w:rsid w:val="64DD2D24"/>
    <w:rsid w:val="64F2EF93"/>
    <w:rsid w:val="64F8EB38"/>
    <w:rsid w:val="64FD08F2"/>
    <w:rsid w:val="65028370"/>
    <w:rsid w:val="6503FA97"/>
    <w:rsid w:val="65133811"/>
    <w:rsid w:val="6518D53F"/>
    <w:rsid w:val="651F01BC"/>
    <w:rsid w:val="651F7597"/>
    <w:rsid w:val="652AEA35"/>
    <w:rsid w:val="652CB774"/>
    <w:rsid w:val="652CE63B"/>
    <w:rsid w:val="653C3028"/>
    <w:rsid w:val="654ECF38"/>
    <w:rsid w:val="654F5417"/>
    <w:rsid w:val="6559E376"/>
    <w:rsid w:val="656577AB"/>
    <w:rsid w:val="6567946B"/>
    <w:rsid w:val="656B6F6E"/>
    <w:rsid w:val="659805D7"/>
    <w:rsid w:val="659E9932"/>
    <w:rsid w:val="659FA680"/>
    <w:rsid w:val="65A51343"/>
    <w:rsid w:val="65A6AC64"/>
    <w:rsid w:val="65B56646"/>
    <w:rsid w:val="65D47047"/>
    <w:rsid w:val="65DD2F6F"/>
    <w:rsid w:val="65EBA542"/>
    <w:rsid w:val="65FB7969"/>
    <w:rsid w:val="65FC86CE"/>
    <w:rsid w:val="65FFD1D0"/>
    <w:rsid w:val="660038D1"/>
    <w:rsid w:val="6600CAB2"/>
    <w:rsid w:val="6603DEC6"/>
    <w:rsid w:val="66065CFF"/>
    <w:rsid w:val="660D2325"/>
    <w:rsid w:val="66171196"/>
    <w:rsid w:val="6635007C"/>
    <w:rsid w:val="6638ED4C"/>
    <w:rsid w:val="664029E7"/>
    <w:rsid w:val="664157B0"/>
    <w:rsid w:val="66459D47"/>
    <w:rsid w:val="66551F19"/>
    <w:rsid w:val="665B7788"/>
    <w:rsid w:val="666349CD"/>
    <w:rsid w:val="6666E561"/>
    <w:rsid w:val="666AB9C5"/>
    <w:rsid w:val="6673FF78"/>
    <w:rsid w:val="667DD5FA"/>
    <w:rsid w:val="667F877A"/>
    <w:rsid w:val="668AF5A4"/>
    <w:rsid w:val="669E99C4"/>
    <w:rsid w:val="66B18AC4"/>
    <w:rsid w:val="66B4B81E"/>
    <w:rsid w:val="66C0429F"/>
    <w:rsid w:val="66C718AB"/>
    <w:rsid w:val="66C7E5E8"/>
    <w:rsid w:val="66DAF96A"/>
    <w:rsid w:val="66E40993"/>
    <w:rsid w:val="66E7483A"/>
    <w:rsid w:val="66EDAD41"/>
    <w:rsid w:val="670101B5"/>
    <w:rsid w:val="6702DBD5"/>
    <w:rsid w:val="670B81FD"/>
    <w:rsid w:val="670C0788"/>
    <w:rsid w:val="670C133F"/>
    <w:rsid w:val="67105D98"/>
    <w:rsid w:val="671B8F4C"/>
    <w:rsid w:val="671F23CE"/>
    <w:rsid w:val="6722117C"/>
    <w:rsid w:val="67283F64"/>
    <w:rsid w:val="672FE0A3"/>
    <w:rsid w:val="6743F141"/>
    <w:rsid w:val="6747B7E8"/>
    <w:rsid w:val="674B854F"/>
    <w:rsid w:val="674BA734"/>
    <w:rsid w:val="6766B5A3"/>
    <w:rsid w:val="676E0378"/>
    <w:rsid w:val="67709FAC"/>
    <w:rsid w:val="6775CAD5"/>
    <w:rsid w:val="677A1A40"/>
    <w:rsid w:val="677B0E2F"/>
    <w:rsid w:val="677B6130"/>
    <w:rsid w:val="6783CD63"/>
    <w:rsid w:val="6795A8B0"/>
    <w:rsid w:val="6796828F"/>
    <w:rsid w:val="67A200CF"/>
    <w:rsid w:val="67A617F6"/>
    <w:rsid w:val="67ACC786"/>
    <w:rsid w:val="67B2B09F"/>
    <w:rsid w:val="67B522C0"/>
    <w:rsid w:val="67B829D4"/>
    <w:rsid w:val="67C6AD6C"/>
    <w:rsid w:val="67DF4524"/>
    <w:rsid w:val="67DF8722"/>
    <w:rsid w:val="67E2B98F"/>
    <w:rsid w:val="67EB9840"/>
    <w:rsid w:val="67F02FC5"/>
    <w:rsid w:val="67FC71BB"/>
    <w:rsid w:val="680781EF"/>
    <w:rsid w:val="6810B4B1"/>
    <w:rsid w:val="6814A7E6"/>
    <w:rsid w:val="68176AC9"/>
    <w:rsid w:val="681C2A7A"/>
    <w:rsid w:val="681FC1E3"/>
    <w:rsid w:val="6822CC65"/>
    <w:rsid w:val="6828827F"/>
    <w:rsid w:val="682CB968"/>
    <w:rsid w:val="683789B8"/>
    <w:rsid w:val="685107BE"/>
    <w:rsid w:val="68515295"/>
    <w:rsid w:val="6856F280"/>
    <w:rsid w:val="6860D7B7"/>
    <w:rsid w:val="686107CD"/>
    <w:rsid w:val="6867B0CA"/>
    <w:rsid w:val="686CA0E9"/>
    <w:rsid w:val="6877B989"/>
    <w:rsid w:val="687B12CA"/>
    <w:rsid w:val="688831CD"/>
    <w:rsid w:val="688F2CD6"/>
    <w:rsid w:val="689DF704"/>
    <w:rsid w:val="689F7054"/>
    <w:rsid w:val="68AA0970"/>
    <w:rsid w:val="68B1459D"/>
    <w:rsid w:val="68B9C774"/>
    <w:rsid w:val="68CFA676"/>
    <w:rsid w:val="68D0EAC0"/>
    <w:rsid w:val="68D55EDF"/>
    <w:rsid w:val="68F90CE8"/>
    <w:rsid w:val="68FA0642"/>
    <w:rsid w:val="690045FE"/>
    <w:rsid w:val="6904E611"/>
    <w:rsid w:val="6905FA1C"/>
    <w:rsid w:val="691C0807"/>
    <w:rsid w:val="6930ABBD"/>
    <w:rsid w:val="6931CC0A"/>
    <w:rsid w:val="6934CBA6"/>
    <w:rsid w:val="69460FBF"/>
    <w:rsid w:val="694B4B08"/>
    <w:rsid w:val="6955173D"/>
    <w:rsid w:val="69623A12"/>
    <w:rsid w:val="69724861"/>
    <w:rsid w:val="698834F4"/>
    <w:rsid w:val="69927C7C"/>
    <w:rsid w:val="6996563C"/>
    <w:rsid w:val="6999C249"/>
    <w:rsid w:val="69A7A431"/>
    <w:rsid w:val="69A85142"/>
    <w:rsid w:val="69AADA89"/>
    <w:rsid w:val="69C46540"/>
    <w:rsid w:val="69C46C16"/>
    <w:rsid w:val="69D1302F"/>
    <w:rsid w:val="69D4012F"/>
    <w:rsid w:val="69DA14B8"/>
    <w:rsid w:val="69DB9DAC"/>
    <w:rsid w:val="6A01ACB6"/>
    <w:rsid w:val="6A1A49EB"/>
    <w:rsid w:val="6A262B53"/>
    <w:rsid w:val="6A2F20CC"/>
    <w:rsid w:val="6A3880D3"/>
    <w:rsid w:val="6A3F24C3"/>
    <w:rsid w:val="6A46F817"/>
    <w:rsid w:val="6A4B4990"/>
    <w:rsid w:val="6A4CAD0C"/>
    <w:rsid w:val="6A69F459"/>
    <w:rsid w:val="6A77EB73"/>
    <w:rsid w:val="6A7A7BA6"/>
    <w:rsid w:val="6A834A1F"/>
    <w:rsid w:val="6A960C38"/>
    <w:rsid w:val="6AA11B62"/>
    <w:rsid w:val="6AA8A715"/>
    <w:rsid w:val="6AAD910E"/>
    <w:rsid w:val="6AB0AF11"/>
    <w:rsid w:val="6AC56F84"/>
    <w:rsid w:val="6AC8A424"/>
    <w:rsid w:val="6ACA7429"/>
    <w:rsid w:val="6ACE6F3C"/>
    <w:rsid w:val="6AE63C87"/>
    <w:rsid w:val="6AEC84B8"/>
    <w:rsid w:val="6AEDF730"/>
    <w:rsid w:val="6AF34A72"/>
    <w:rsid w:val="6AF7AEEC"/>
    <w:rsid w:val="6B058F5C"/>
    <w:rsid w:val="6B0DFEC7"/>
    <w:rsid w:val="6B123047"/>
    <w:rsid w:val="6B2246E6"/>
    <w:rsid w:val="6B3FABEC"/>
    <w:rsid w:val="6B499300"/>
    <w:rsid w:val="6B4EF02D"/>
    <w:rsid w:val="6B527334"/>
    <w:rsid w:val="6B56B65D"/>
    <w:rsid w:val="6B572E9D"/>
    <w:rsid w:val="6B7290BD"/>
    <w:rsid w:val="6B746245"/>
    <w:rsid w:val="6B78CE63"/>
    <w:rsid w:val="6B7C1086"/>
    <w:rsid w:val="6B83C44F"/>
    <w:rsid w:val="6B83CA4D"/>
    <w:rsid w:val="6B9CC97D"/>
    <w:rsid w:val="6BA147F7"/>
    <w:rsid w:val="6BB11CE7"/>
    <w:rsid w:val="6BBA7703"/>
    <w:rsid w:val="6BBBE843"/>
    <w:rsid w:val="6BC92950"/>
    <w:rsid w:val="6BCD8176"/>
    <w:rsid w:val="6BEBEE75"/>
    <w:rsid w:val="6C0CD861"/>
    <w:rsid w:val="6C154ECD"/>
    <w:rsid w:val="6C17B98D"/>
    <w:rsid w:val="6C1BC5C2"/>
    <w:rsid w:val="6C1DD2F8"/>
    <w:rsid w:val="6C372AD4"/>
    <w:rsid w:val="6C40F279"/>
    <w:rsid w:val="6C42E2FC"/>
    <w:rsid w:val="6C463936"/>
    <w:rsid w:val="6C4CD353"/>
    <w:rsid w:val="6C4E7CE9"/>
    <w:rsid w:val="6C4FF7C8"/>
    <w:rsid w:val="6C5229B4"/>
    <w:rsid w:val="6C5A5F60"/>
    <w:rsid w:val="6C707AA4"/>
    <w:rsid w:val="6C74173B"/>
    <w:rsid w:val="6C773ABE"/>
    <w:rsid w:val="6C7E72E5"/>
    <w:rsid w:val="6C8248B4"/>
    <w:rsid w:val="6C84FA8D"/>
    <w:rsid w:val="6C9847C6"/>
    <w:rsid w:val="6C9B7670"/>
    <w:rsid w:val="6C9DBB4B"/>
    <w:rsid w:val="6CA2BE83"/>
    <w:rsid w:val="6CA55202"/>
    <w:rsid w:val="6CA7AFBD"/>
    <w:rsid w:val="6CAFBB87"/>
    <w:rsid w:val="6CB0C03B"/>
    <w:rsid w:val="6CC58458"/>
    <w:rsid w:val="6CC8E6E5"/>
    <w:rsid w:val="6CF83058"/>
    <w:rsid w:val="6D0D2907"/>
    <w:rsid w:val="6D0D7F09"/>
    <w:rsid w:val="6D116017"/>
    <w:rsid w:val="6D2B0020"/>
    <w:rsid w:val="6D2CE566"/>
    <w:rsid w:val="6D39A5FC"/>
    <w:rsid w:val="6D438D1F"/>
    <w:rsid w:val="6D47CC95"/>
    <w:rsid w:val="6D48F99D"/>
    <w:rsid w:val="6D58C9D9"/>
    <w:rsid w:val="6D68BC10"/>
    <w:rsid w:val="6D6D0F5A"/>
    <w:rsid w:val="6D73A8E8"/>
    <w:rsid w:val="6D749089"/>
    <w:rsid w:val="6D85F5AF"/>
    <w:rsid w:val="6DA12095"/>
    <w:rsid w:val="6DA12AB2"/>
    <w:rsid w:val="6DAF95F3"/>
    <w:rsid w:val="6DB9E887"/>
    <w:rsid w:val="6DC796C0"/>
    <w:rsid w:val="6DCBBA44"/>
    <w:rsid w:val="6DD428D7"/>
    <w:rsid w:val="6DD8A4C0"/>
    <w:rsid w:val="6DDDA4E2"/>
    <w:rsid w:val="6DDDCD93"/>
    <w:rsid w:val="6DE2817D"/>
    <w:rsid w:val="6DE7D5A6"/>
    <w:rsid w:val="6DEA5E9C"/>
    <w:rsid w:val="6DEDE02D"/>
    <w:rsid w:val="6DF0284F"/>
    <w:rsid w:val="6DF49359"/>
    <w:rsid w:val="6DF49A3A"/>
    <w:rsid w:val="6DF49A3A"/>
    <w:rsid w:val="6DFA828F"/>
    <w:rsid w:val="6DFBA46F"/>
    <w:rsid w:val="6DFCAA3B"/>
    <w:rsid w:val="6E07B14E"/>
    <w:rsid w:val="6E0CDA4B"/>
    <w:rsid w:val="6E242508"/>
    <w:rsid w:val="6E3FA906"/>
    <w:rsid w:val="6E47910E"/>
    <w:rsid w:val="6E479D2E"/>
    <w:rsid w:val="6E4812E0"/>
    <w:rsid w:val="6E581DBE"/>
    <w:rsid w:val="6E5CB410"/>
    <w:rsid w:val="6E5D545E"/>
    <w:rsid w:val="6E65582D"/>
    <w:rsid w:val="6E67C9E0"/>
    <w:rsid w:val="6E7832C5"/>
    <w:rsid w:val="6E7AEAA4"/>
    <w:rsid w:val="6E7C8239"/>
    <w:rsid w:val="6E7F2F13"/>
    <w:rsid w:val="6E884552"/>
    <w:rsid w:val="6E8AF17C"/>
    <w:rsid w:val="6E9F34FA"/>
    <w:rsid w:val="6EB9055B"/>
    <w:rsid w:val="6ECD07B4"/>
    <w:rsid w:val="6EDDB60C"/>
    <w:rsid w:val="6EDF3C6A"/>
    <w:rsid w:val="6EE206D7"/>
    <w:rsid w:val="6EE94AB6"/>
    <w:rsid w:val="6EEA5D92"/>
    <w:rsid w:val="6EF68E5A"/>
    <w:rsid w:val="6EFFFBD4"/>
    <w:rsid w:val="6F04DA94"/>
    <w:rsid w:val="6F09171B"/>
    <w:rsid w:val="6F0A2B50"/>
    <w:rsid w:val="6F0FC98E"/>
    <w:rsid w:val="6F1FCEC3"/>
    <w:rsid w:val="6F261124"/>
    <w:rsid w:val="6F2F04D7"/>
    <w:rsid w:val="6F3141D5"/>
    <w:rsid w:val="6F54140F"/>
    <w:rsid w:val="6F5CE2A1"/>
    <w:rsid w:val="6F6231B4"/>
    <w:rsid w:val="6F62FA54"/>
    <w:rsid w:val="6F795E3D"/>
    <w:rsid w:val="6F7E8E72"/>
    <w:rsid w:val="6F8D0F4C"/>
    <w:rsid w:val="6F8DC616"/>
    <w:rsid w:val="6F922BC2"/>
    <w:rsid w:val="6FBCCAC7"/>
    <w:rsid w:val="6FC4E59F"/>
    <w:rsid w:val="6FC77449"/>
    <w:rsid w:val="6FC7D832"/>
    <w:rsid w:val="6FCB7541"/>
    <w:rsid w:val="6FD0F961"/>
    <w:rsid w:val="6FD4FDCD"/>
    <w:rsid w:val="6FDF531E"/>
    <w:rsid w:val="6FF4E62A"/>
    <w:rsid w:val="6FF58FC5"/>
    <w:rsid w:val="6FFC47F3"/>
    <w:rsid w:val="700550EA"/>
    <w:rsid w:val="70120D53"/>
    <w:rsid w:val="7013117D"/>
    <w:rsid w:val="70141EC4"/>
    <w:rsid w:val="7014EE80"/>
    <w:rsid w:val="7016A791"/>
    <w:rsid w:val="7016C7F3"/>
    <w:rsid w:val="701C14DA"/>
    <w:rsid w:val="7024DA8F"/>
    <w:rsid w:val="7032AC54"/>
    <w:rsid w:val="703EEE75"/>
    <w:rsid w:val="7040BBA2"/>
    <w:rsid w:val="70482E71"/>
    <w:rsid w:val="704E47FD"/>
    <w:rsid w:val="7051B507"/>
    <w:rsid w:val="705745CC"/>
    <w:rsid w:val="7057DAB6"/>
    <w:rsid w:val="7062E827"/>
    <w:rsid w:val="70872686"/>
    <w:rsid w:val="70970422"/>
    <w:rsid w:val="709A125B"/>
    <w:rsid w:val="70A6D2CA"/>
    <w:rsid w:val="70B78F67"/>
    <w:rsid w:val="70B8F10B"/>
    <w:rsid w:val="70BCF484"/>
    <w:rsid w:val="70C063CA"/>
    <w:rsid w:val="70C33581"/>
    <w:rsid w:val="70C7F2B5"/>
    <w:rsid w:val="70C964BD"/>
    <w:rsid w:val="70D1AB4A"/>
    <w:rsid w:val="70FF043C"/>
    <w:rsid w:val="71109389"/>
    <w:rsid w:val="71136853"/>
    <w:rsid w:val="71294D40"/>
    <w:rsid w:val="71310653"/>
    <w:rsid w:val="71323D98"/>
    <w:rsid w:val="7135BA67"/>
    <w:rsid w:val="71416D66"/>
    <w:rsid w:val="7141884E"/>
    <w:rsid w:val="715CC730"/>
    <w:rsid w:val="71643C44"/>
    <w:rsid w:val="716D0825"/>
    <w:rsid w:val="7179C1B5"/>
    <w:rsid w:val="71866AC9"/>
    <w:rsid w:val="718B014F"/>
    <w:rsid w:val="71A12F7C"/>
    <w:rsid w:val="71A4C2CF"/>
    <w:rsid w:val="71BD4B62"/>
    <w:rsid w:val="71BFA193"/>
    <w:rsid w:val="71C10A41"/>
    <w:rsid w:val="71C2FE94"/>
    <w:rsid w:val="71C597FE"/>
    <w:rsid w:val="71D90F72"/>
    <w:rsid w:val="71E4932D"/>
    <w:rsid w:val="71EF53FE"/>
    <w:rsid w:val="71F005F1"/>
    <w:rsid w:val="71F1D903"/>
    <w:rsid w:val="722F4F0B"/>
    <w:rsid w:val="723D27A6"/>
    <w:rsid w:val="72465332"/>
    <w:rsid w:val="724A131A"/>
    <w:rsid w:val="72521F45"/>
    <w:rsid w:val="7267AF2E"/>
    <w:rsid w:val="727160A0"/>
    <w:rsid w:val="72809176"/>
    <w:rsid w:val="72894614"/>
    <w:rsid w:val="728975F0"/>
    <w:rsid w:val="72C292D5"/>
    <w:rsid w:val="72C55C03"/>
    <w:rsid w:val="72CC9481"/>
    <w:rsid w:val="72CDABE8"/>
    <w:rsid w:val="72D3708F"/>
    <w:rsid w:val="72EF3AD9"/>
    <w:rsid w:val="72F434E9"/>
    <w:rsid w:val="72FC9270"/>
    <w:rsid w:val="7302A9D3"/>
    <w:rsid w:val="73080114"/>
    <w:rsid w:val="730A0EEB"/>
    <w:rsid w:val="730AF8E8"/>
    <w:rsid w:val="7315EDCF"/>
    <w:rsid w:val="732114CF"/>
    <w:rsid w:val="73244ABD"/>
    <w:rsid w:val="732A987D"/>
    <w:rsid w:val="73342698"/>
    <w:rsid w:val="733AF653"/>
    <w:rsid w:val="733ED6EA"/>
    <w:rsid w:val="7340D6BF"/>
    <w:rsid w:val="7341E39E"/>
    <w:rsid w:val="7346C561"/>
    <w:rsid w:val="734C3F3A"/>
    <w:rsid w:val="7355E240"/>
    <w:rsid w:val="7357FC8E"/>
    <w:rsid w:val="735ADFEE"/>
    <w:rsid w:val="7365C80C"/>
    <w:rsid w:val="7366FB6D"/>
    <w:rsid w:val="736730C9"/>
    <w:rsid w:val="736CDDEE"/>
    <w:rsid w:val="736F6F5A"/>
    <w:rsid w:val="737BBDF6"/>
    <w:rsid w:val="7388848B"/>
    <w:rsid w:val="738BCA70"/>
    <w:rsid w:val="738C33BD"/>
    <w:rsid w:val="738FEE2E"/>
    <w:rsid w:val="73996A77"/>
    <w:rsid w:val="73A4F56F"/>
    <w:rsid w:val="73AF4150"/>
    <w:rsid w:val="73B27A96"/>
    <w:rsid w:val="73B7855F"/>
    <w:rsid w:val="73C8802C"/>
    <w:rsid w:val="73D1FB2D"/>
    <w:rsid w:val="73DEEFD6"/>
    <w:rsid w:val="73E1D969"/>
    <w:rsid w:val="73E7DC93"/>
    <w:rsid w:val="73F64F17"/>
    <w:rsid w:val="7403F0E9"/>
    <w:rsid w:val="7407086B"/>
    <w:rsid w:val="740827F7"/>
    <w:rsid w:val="74105938"/>
    <w:rsid w:val="74161BC2"/>
    <w:rsid w:val="741A9E27"/>
    <w:rsid w:val="743A1E65"/>
    <w:rsid w:val="743F50C2"/>
    <w:rsid w:val="7440D18F"/>
    <w:rsid w:val="74450DD5"/>
    <w:rsid w:val="74468771"/>
    <w:rsid w:val="7448BF32"/>
    <w:rsid w:val="744B2B76"/>
    <w:rsid w:val="7454EE2B"/>
    <w:rsid w:val="745A0D7C"/>
    <w:rsid w:val="746AFE31"/>
    <w:rsid w:val="746B0245"/>
    <w:rsid w:val="7477A5DF"/>
    <w:rsid w:val="74881033"/>
    <w:rsid w:val="749659DC"/>
    <w:rsid w:val="74987739"/>
    <w:rsid w:val="749CFC59"/>
    <w:rsid w:val="749DE68C"/>
    <w:rsid w:val="749F323D"/>
    <w:rsid w:val="749FD802"/>
    <w:rsid w:val="74AE76A4"/>
    <w:rsid w:val="74AF9286"/>
    <w:rsid w:val="74AFACB0"/>
    <w:rsid w:val="74B64B78"/>
    <w:rsid w:val="74C4AACD"/>
    <w:rsid w:val="74C6EBB1"/>
    <w:rsid w:val="74C740E4"/>
    <w:rsid w:val="74C8A6A1"/>
    <w:rsid w:val="74E2F2D8"/>
    <w:rsid w:val="74ECDEE4"/>
    <w:rsid w:val="74EDCA99"/>
    <w:rsid w:val="750DFE28"/>
    <w:rsid w:val="75267C7A"/>
    <w:rsid w:val="752CEB3E"/>
    <w:rsid w:val="752E0ECA"/>
    <w:rsid w:val="752FB960"/>
    <w:rsid w:val="7553C9D7"/>
    <w:rsid w:val="75555559"/>
    <w:rsid w:val="7555F897"/>
    <w:rsid w:val="756245ED"/>
    <w:rsid w:val="7571D087"/>
    <w:rsid w:val="7573821A"/>
    <w:rsid w:val="758DF384"/>
    <w:rsid w:val="75911D72"/>
    <w:rsid w:val="7592A489"/>
    <w:rsid w:val="75953BE6"/>
    <w:rsid w:val="75A6E249"/>
    <w:rsid w:val="75ACCEA2"/>
    <w:rsid w:val="75BBF285"/>
    <w:rsid w:val="75C2D90A"/>
    <w:rsid w:val="75C507B8"/>
    <w:rsid w:val="75C59568"/>
    <w:rsid w:val="75D35B82"/>
    <w:rsid w:val="75E98DBC"/>
    <w:rsid w:val="75F3E8C3"/>
    <w:rsid w:val="75F93AC8"/>
    <w:rsid w:val="75FE9A52"/>
    <w:rsid w:val="76046C84"/>
    <w:rsid w:val="760BF42B"/>
    <w:rsid w:val="760D471E"/>
    <w:rsid w:val="760E08B1"/>
    <w:rsid w:val="761BC77E"/>
    <w:rsid w:val="762A121B"/>
    <w:rsid w:val="762C8729"/>
    <w:rsid w:val="7631A91C"/>
    <w:rsid w:val="763FFDA5"/>
    <w:rsid w:val="76463102"/>
    <w:rsid w:val="76607E15"/>
    <w:rsid w:val="76637376"/>
    <w:rsid w:val="766EA0F1"/>
    <w:rsid w:val="7670CB31"/>
    <w:rsid w:val="767DC8D2"/>
    <w:rsid w:val="7683B4D4"/>
    <w:rsid w:val="76A363E3"/>
    <w:rsid w:val="76A933E0"/>
    <w:rsid w:val="76AE5B60"/>
    <w:rsid w:val="76C14993"/>
    <w:rsid w:val="76C7FF94"/>
    <w:rsid w:val="76CA2CC8"/>
    <w:rsid w:val="76CA9A2D"/>
    <w:rsid w:val="76D495EA"/>
    <w:rsid w:val="76D8DAF9"/>
    <w:rsid w:val="76DA0EBC"/>
    <w:rsid w:val="76DDECDD"/>
    <w:rsid w:val="76E0C95A"/>
    <w:rsid w:val="76E3DDFF"/>
    <w:rsid w:val="76EF3E21"/>
    <w:rsid w:val="76F146AF"/>
    <w:rsid w:val="76F230DE"/>
    <w:rsid w:val="7708A52E"/>
    <w:rsid w:val="770E4ABA"/>
    <w:rsid w:val="7765475E"/>
    <w:rsid w:val="776DF9F1"/>
    <w:rsid w:val="7770417D"/>
    <w:rsid w:val="7770ED6F"/>
    <w:rsid w:val="7771652B"/>
    <w:rsid w:val="77779057"/>
    <w:rsid w:val="778A7876"/>
    <w:rsid w:val="7795C600"/>
    <w:rsid w:val="779B8B8A"/>
    <w:rsid w:val="779CD64D"/>
    <w:rsid w:val="779E5D7E"/>
    <w:rsid w:val="77A3244F"/>
    <w:rsid w:val="77B20014"/>
    <w:rsid w:val="77BDB600"/>
    <w:rsid w:val="77BF4384"/>
    <w:rsid w:val="77C2BE55"/>
    <w:rsid w:val="77C7443B"/>
    <w:rsid w:val="77CE0F77"/>
    <w:rsid w:val="77CF5E2D"/>
    <w:rsid w:val="77D3C13D"/>
    <w:rsid w:val="77DD4637"/>
    <w:rsid w:val="77EA698A"/>
    <w:rsid w:val="77F457DD"/>
    <w:rsid w:val="77FA330F"/>
    <w:rsid w:val="77FBBD51"/>
    <w:rsid w:val="780626E0"/>
    <w:rsid w:val="78085AD0"/>
    <w:rsid w:val="780EE4E6"/>
    <w:rsid w:val="7816D5FC"/>
    <w:rsid w:val="7824EE72"/>
    <w:rsid w:val="78292385"/>
    <w:rsid w:val="782D5FFC"/>
    <w:rsid w:val="7830037F"/>
    <w:rsid w:val="783958F3"/>
    <w:rsid w:val="784576B3"/>
    <w:rsid w:val="78495970"/>
    <w:rsid w:val="78591C19"/>
    <w:rsid w:val="785F93C0"/>
    <w:rsid w:val="7867D7D4"/>
    <w:rsid w:val="787A943C"/>
    <w:rsid w:val="7887D6BC"/>
    <w:rsid w:val="7891AF10"/>
    <w:rsid w:val="789266AA"/>
    <w:rsid w:val="7893AB04"/>
    <w:rsid w:val="78AB39AA"/>
    <w:rsid w:val="78ACDEB1"/>
    <w:rsid w:val="78B00DA8"/>
    <w:rsid w:val="78B4EFA8"/>
    <w:rsid w:val="78B74307"/>
    <w:rsid w:val="78C4C9B7"/>
    <w:rsid w:val="78D255F1"/>
    <w:rsid w:val="78D8E5AA"/>
    <w:rsid w:val="78EE6722"/>
    <w:rsid w:val="78F03A78"/>
    <w:rsid w:val="78F38B5F"/>
    <w:rsid w:val="78FB0CC6"/>
    <w:rsid w:val="79014C96"/>
    <w:rsid w:val="79029373"/>
    <w:rsid w:val="79070DA5"/>
    <w:rsid w:val="79199CA5"/>
    <w:rsid w:val="791B7526"/>
    <w:rsid w:val="7921FE44"/>
    <w:rsid w:val="7927EDF5"/>
    <w:rsid w:val="792C47F0"/>
    <w:rsid w:val="79340A56"/>
    <w:rsid w:val="793516FF"/>
    <w:rsid w:val="793D6324"/>
    <w:rsid w:val="794582A4"/>
    <w:rsid w:val="794B071F"/>
    <w:rsid w:val="7953ABFE"/>
    <w:rsid w:val="796186F0"/>
    <w:rsid w:val="797535F9"/>
    <w:rsid w:val="79783F0E"/>
    <w:rsid w:val="797CD692"/>
    <w:rsid w:val="797D92AB"/>
    <w:rsid w:val="7983CA08"/>
    <w:rsid w:val="799B0BAA"/>
    <w:rsid w:val="799B7893"/>
    <w:rsid w:val="79A991C1"/>
    <w:rsid w:val="79C42F1B"/>
    <w:rsid w:val="79C51B10"/>
    <w:rsid w:val="79D68A85"/>
    <w:rsid w:val="79E3C7CC"/>
    <w:rsid w:val="79E48F43"/>
    <w:rsid w:val="79FBFE73"/>
    <w:rsid w:val="7A1C38D1"/>
    <w:rsid w:val="7A21D5B5"/>
    <w:rsid w:val="7A31E54A"/>
    <w:rsid w:val="7A428F92"/>
    <w:rsid w:val="7A58B25A"/>
    <w:rsid w:val="7A5D139F"/>
    <w:rsid w:val="7A616C9F"/>
    <w:rsid w:val="7A6572D1"/>
    <w:rsid w:val="7A7B7E0D"/>
    <w:rsid w:val="7A7FE11B"/>
    <w:rsid w:val="7A837294"/>
    <w:rsid w:val="7A84212F"/>
    <w:rsid w:val="7A84D2EB"/>
    <w:rsid w:val="7A895E26"/>
    <w:rsid w:val="7A8A4F7B"/>
    <w:rsid w:val="7A92F27A"/>
    <w:rsid w:val="7A9521FF"/>
    <w:rsid w:val="7AA244A0"/>
    <w:rsid w:val="7AA78C95"/>
    <w:rsid w:val="7AACFB3B"/>
    <w:rsid w:val="7AAEF24A"/>
    <w:rsid w:val="7AB082F2"/>
    <w:rsid w:val="7AB14C09"/>
    <w:rsid w:val="7AC09D3C"/>
    <w:rsid w:val="7ACD3B0F"/>
    <w:rsid w:val="7AD6A7D6"/>
    <w:rsid w:val="7AD6DAE4"/>
    <w:rsid w:val="7ADBA28C"/>
    <w:rsid w:val="7ADBD8B6"/>
    <w:rsid w:val="7ADBDD43"/>
    <w:rsid w:val="7AE11C66"/>
    <w:rsid w:val="7AF5818A"/>
    <w:rsid w:val="7AF5F62F"/>
    <w:rsid w:val="7AF69D36"/>
    <w:rsid w:val="7AFF2352"/>
    <w:rsid w:val="7AFFC6B2"/>
    <w:rsid w:val="7B05390B"/>
    <w:rsid w:val="7B0AF68F"/>
    <w:rsid w:val="7B0B2E2B"/>
    <w:rsid w:val="7B15F7A0"/>
    <w:rsid w:val="7B30C035"/>
    <w:rsid w:val="7B312D1A"/>
    <w:rsid w:val="7B3B4BCA"/>
    <w:rsid w:val="7B41B973"/>
    <w:rsid w:val="7B480B3D"/>
    <w:rsid w:val="7B4AE449"/>
    <w:rsid w:val="7B59DB55"/>
    <w:rsid w:val="7B59DF1C"/>
    <w:rsid w:val="7B60897A"/>
    <w:rsid w:val="7B622F12"/>
    <w:rsid w:val="7B62B30B"/>
    <w:rsid w:val="7B8B506B"/>
    <w:rsid w:val="7B8FE0D9"/>
    <w:rsid w:val="7B9649B8"/>
    <w:rsid w:val="7B9B9FE4"/>
    <w:rsid w:val="7B9C12FE"/>
    <w:rsid w:val="7BA67508"/>
    <w:rsid w:val="7BAB0611"/>
    <w:rsid w:val="7BB68C34"/>
    <w:rsid w:val="7BC1373E"/>
    <w:rsid w:val="7BC2A625"/>
    <w:rsid w:val="7BC9D464"/>
    <w:rsid w:val="7BCF0C76"/>
    <w:rsid w:val="7BE001FB"/>
    <w:rsid w:val="7BE1D244"/>
    <w:rsid w:val="7BE2F2AB"/>
    <w:rsid w:val="7BE34DE9"/>
    <w:rsid w:val="7BE6059B"/>
    <w:rsid w:val="7BE7200D"/>
    <w:rsid w:val="7BE89D4C"/>
    <w:rsid w:val="7BEAA7DE"/>
    <w:rsid w:val="7C05D7F7"/>
    <w:rsid w:val="7C0692E9"/>
    <w:rsid w:val="7C07F2F2"/>
    <w:rsid w:val="7C09AE66"/>
    <w:rsid w:val="7C111CD2"/>
    <w:rsid w:val="7C179FD7"/>
    <w:rsid w:val="7C1DA156"/>
    <w:rsid w:val="7C29DAC5"/>
    <w:rsid w:val="7C396E60"/>
    <w:rsid w:val="7C43ECAC"/>
    <w:rsid w:val="7C44346A"/>
    <w:rsid w:val="7C4B1349"/>
    <w:rsid w:val="7C4F95EF"/>
    <w:rsid w:val="7C5C324D"/>
    <w:rsid w:val="7C6BD0C2"/>
    <w:rsid w:val="7C6CDC7C"/>
    <w:rsid w:val="7C6D2128"/>
    <w:rsid w:val="7C8A1AD9"/>
    <w:rsid w:val="7C8F73B5"/>
    <w:rsid w:val="7C91DE92"/>
    <w:rsid w:val="7CB57A74"/>
    <w:rsid w:val="7CB98559"/>
    <w:rsid w:val="7CC916AA"/>
    <w:rsid w:val="7CCAA3CD"/>
    <w:rsid w:val="7CCC8629"/>
    <w:rsid w:val="7CD9F7A1"/>
    <w:rsid w:val="7CEDCED4"/>
    <w:rsid w:val="7CF2E4EE"/>
    <w:rsid w:val="7CF3652F"/>
    <w:rsid w:val="7CFA4917"/>
    <w:rsid w:val="7CFEE687"/>
    <w:rsid w:val="7CFF0FC0"/>
    <w:rsid w:val="7D03415C"/>
    <w:rsid w:val="7D19E4F2"/>
    <w:rsid w:val="7D1DEBBE"/>
    <w:rsid w:val="7D3EE43A"/>
    <w:rsid w:val="7D45ADE3"/>
    <w:rsid w:val="7D503794"/>
    <w:rsid w:val="7D50A33A"/>
    <w:rsid w:val="7D52AF09"/>
    <w:rsid w:val="7D55A91D"/>
    <w:rsid w:val="7D596F16"/>
    <w:rsid w:val="7D5A16EA"/>
    <w:rsid w:val="7D639D87"/>
    <w:rsid w:val="7D685260"/>
    <w:rsid w:val="7D721BB3"/>
    <w:rsid w:val="7D729F7F"/>
    <w:rsid w:val="7D7B4270"/>
    <w:rsid w:val="7D80DD61"/>
    <w:rsid w:val="7D9CD722"/>
    <w:rsid w:val="7D9E38D9"/>
    <w:rsid w:val="7DA99D71"/>
    <w:rsid w:val="7DB309F6"/>
    <w:rsid w:val="7DBB5B62"/>
    <w:rsid w:val="7DC224B1"/>
    <w:rsid w:val="7DD992A7"/>
    <w:rsid w:val="7DE1DD2A"/>
    <w:rsid w:val="7DE893EA"/>
    <w:rsid w:val="7DF1C202"/>
    <w:rsid w:val="7DFE46BF"/>
    <w:rsid w:val="7DFE84AC"/>
    <w:rsid w:val="7E0090DF"/>
    <w:rsid w:val="7E0BF226"/>
    <w:rsid w:val="7E140B23"/>
    <w:rsid w:val="7E149A7D"/>
    <w:rsid w:val="7E16F0C0"/>
    <w:rsid w:val="7E184399"/>
    <w:rsid w:val="7E215591"/>
    <w:rsid w:val="7E2785BC"/>
    <w:rsid w:val="7E28B350"/>
    <w:rsid w:val="7E294D32"/>
    <w:rsid w:val="7E29E878"/>
    <w:rsid w:val="7E2D1495"/>
    <w:rsid w:val="7E33EA59"/>
    <w:rsid w:val="7E39F2F5"/>
    <w:rsid w:val="7E3AFBB6"/>
    <w:rsid w:val="7E45EC26"/>
    <w:rsid w:val="7E5D6B66"/>
    <w:rsid w:val="7E6382D1"/>
    <w:rsid w:val="7E6C872B"/>
    <w:rsid w:val="7E7D0AB9"/>
    <w:rsid w:val="7E7E478F"/>
    <w:rsid w:val="7E819200"/>
    <w:rsid w:val="7E9E28E5"/>
    <w:rsid w:val="7EA5626E"/>
    <w:rsid w:val="7EB53312"/>
    <w:rsid w:val="7EBDB03B"/>
    <w:rsid w:val="7ECE92BB"/>
    <w:rsid w:val="7ED2A018"/>
    <w:rsid w:val="7ED30BA8"/>
    <w:rsid w:val="7EE9890E"/>
    <w:rsid w:val="7EF0B9C1"/>
    <w:rsid w:val="7F0831B0"/>
    <w:rsid w:val="7F0D9364"/>
    <w:rsid w:val="7F323E1D"/>
    <w:rsid w:val="7F44A1BC"/>
    <w:rsid w:val="7F48E1CD"/>
    <w:rsid w:val="7F590283"/>
    <w:rsid w:val="7F633896"/>
    <w:rsid w:val="7F6A8625"/>
    <w:rsid w:val="7F77105E"/>
    <w:rsid w:val="7F802FDD"/>
    <w:rsid w:val="7F821ED6"/>
    <w:rsid w:val="7F845F8E"/>
    <w:rsid w:val="7F8C8592"/>
    <w:rsid w:val="7FA8802F"/>
    <w:rsid w:val="7FB28FEA"/>
    <w:rsid w:val="7FB79452"/>
    <w:rsid w:val="7FB8BB5F"/>
    <w:rsid w:val="7FBC5C60"/>
    <w:rsid w:val="7FBF5419"/>
    <w:rsid w:val="7FC2B19A"/>
    <w:rsid w:val="7FC6468D"/>
    <w:rsid w:val="7FCBA6DA"/>
    <w:rsid w:val="7FCC9DD2"/>
    <w:rsid w:val="7FEB0130"/>
    <w:rsid w:val="7FF859DB"/>
    <w:rsid w:val="7FFBC1C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fillcolor="white">
      <v:fill color="white"/>
    </o:shapedefaults>
    <o:shapelayout v:ext="edit">
      <o:idmap v:ext="edit" data="2"/>
    </o:shapelayout>
  </w:shapeDefaults>
  <w:decimalSymbol w:val="."/>
  <w:listSeparator w:val=","/>
  <w14:docId w14:val="72F5CAE2"/>
  <w14:defaultImageDpi w14:val="300"/>
  <w15:docId w15:val="{DECC3BBC-5785-418C-90FD-74BA5DE9C5C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SimSu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qFormat="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unhideWhenUsed="1" w:qFormat="1"/>
    <w:lsdException w:name="toa heading" w:semiHidden="1" w:unhideWhenUsed="1"/>
    <w:lsdException w:name="List" w:unhideWhenUsed="1" w:qFormat="1"/>
    <w:lsdException w:name="List Bullet" w:unhideWhenUsed="1" w:qFormat="1"/>
    <w:lsdException w:name="List Number" w:unhideWhenUsed="1" w:qFormat="1"/>
    <w:lsdException w:name="List 2" w:unhideWhenUsed="1" w:qFormat="1"/>
    <w:lsdException w:name="List 3" w:unhideWhenUsed="1" w:qFormat="1"/>
    <w:lsdException w:name="List 4" w:semiHidden="1" w:unhideWhenUsed="1"/>
    <w:lsdException w:name="List 5" w:semiHidden="1" w:unhideWhenUsed="1"/>
    <w:lsdException w:name="List Bullet 2" w:unhideWhenUsed="1" w:qFormat="1"/>
    <w:lsdException w:name="List Bullet 3" w:unhideWhenUsed="1" w:qFormat="1"/>
    <w:lsdException w:name="List Bullet 4" w:semiHidden="1" w:unhideWhenUsed="1"/>
    <w:lsdException w:name="List Bullet 5" w:semiHidden="1" w:unhideWhenUsed="1"/>
    <w:lsdException w:name="List Number 2" w:unhideWhenUsed="1" w:qFormat="1"/>
    <w:lsdException w:name="List Number 3"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qFormat="1"/>
    <w:lsdException w:name="Body Text" w:unhideWhenUsed="1" w:qFormat="1"/>
    <w:lsdException w:name="Body Text Indent" w:semiHidden="1" w:unhideWhenUsed="1"/>
    <w:lsdException w:name="List Continue" w:unhideWhenUsed="1" w:qFormat="1"/>
    <w:lsdException w:name="List Continue 2" w:unhideWhenUsed="1" w:qFormat="1"/>
    <w:lsdException w:name="List Continue 3" w:unhideWhenUsed="1" w:qFormat="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nhideWhenUsed="1" w:qFormat="1"/>
    <w:lsdException w:name="Body Text 3"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uiPriority="1" w:qFormat="1"/>
    <w:lsdException w:name="Light Shading" w:uiPriority="60" w:qFormat="1"/>
    <w:lsdException w:name="Light List" w:uiPriority="61" w:qFormat="1"/>
    <w:lsdException w:name="Light Grid" w:uiPriority="62" w:qFormat="1"/>
    <w:lsdException w:name="Medium Shading 1" w:uiPriority="63" w:qFormat="1"/>
    <w:lsdException w:name="Medium Shading 2" w:uiPriority="64"/>
    <w:lsdException w:name="Medium List 1" w:uiPriority="65" w:qFormat="1"/>
    <w:lsdException w:name="Medium List 2" w:uiPriority="66" w:qFormat="1"/>
    <w:lsdException w:name="Medium Grid 1" w:uiPriority="67" w:qFormat="1"/>
    <w:lsdException w:name="Medium Grid 2" w:uiPriority="68" w:qFormat="1"/>
    <w:lsdException w:name="Medium Grid 3" w:uiPriority="69" w:qFormat="1"/>
    <w:lsdException w:name="Dark List" w:uiPriority="70" w:qFormat="1"/>
    <w:lsdException w:name="Colorful Shading" w:uiPriority="71" w:qFormat="1"/>
    <w:lsdException w:name="Colorful List" w:uiPriority="72" w:qFormat="1"/>
    <w:lsdException w:name="Colorful Grid" w:uiPriority="73" w:qFormat="1"/>
    <w:lsdException w:name="Light Shading Accent 1" w:uiPriority="60" w:qFormat="1"/>
    <w:lsdException w:name="Light List Accent 1" w:uiPriority="61" w:qFormat="1"/>
    <w:lsdException w:name="Light Grid Accent 1" w:uiPriority="62" w:qFormat="1"/>
    <w:lsdException w:name="Medium Shading 1 Accent 1" w:uiPriority="63" w:qFormat="1"/>
    <w:lsdException w:name="Medium Shading 2 Accent 1" w:uiPriority="64"/>
    <w:lsdException w:name="Medium List 1 Accent 1" w:uiPriority="65" w:qFormat="1"/>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qFormat="1"/>
    <w:lsdException w:name="Medium Grid 2 Accent 1" w:uiPriority="68"/>
    <w:lsdException w:name="Medium Grid 3 Accent 1" w:uiPriority="69" w:qFormat="1"/>
    <w:lsdException w:name="Dark List Accent 1" w:uiPriority="70" w:qFormat="1"/>
    <w:lsdException w:name="Colorful Shading Accent 1" w:uiPriority="71" w:qFormat="1"/>
    <w:lsdException w:name="Colorful List Accent 1" w:uiPriority="72" w:qFormat="1"/>
    <w:lsdException w:name="Colorful Grid Accent 1" w:uiPriority="73" w:qFormat="1"/>
    <w:lsdException w:name="Light Shading Accent 2" w:uiPriority="60" w:qFormat="1"/>
    <w:lsdException w:name="Light List Accent 2" w:uiPriority="61" w:qFormat="1"/>
    <w:lsdException w:name="Light Grid Accent 2" w:uiPriority="62" w:qFormat="1"/>
    <w:lsdException w:name="Medium Shading 1 Accent 2" w:uiPriority="63" w:qFormat="1"/>
    <w:lsdException w:name="Medium Shading 2 Accent 2" w:uiPriority="64" w:qFormat="1"/>
    <w:lsdException w:name="Medium List 1 Accent 2" w:uiPriority="65" w:qFormat="1"/>
    <w:lsdException w:name="Medium List 2 Accent 2" w:uiPriority="66" w:qFormat="1"/>
    <w:lsdException w:name="Medium Grid 1 Accent 2" w:uiPriority="67" w:qFormat="1"/>
    <w:lsdException w:name="Medium Grid 2 Accent 2" w:uiPriority="68"/>
    <w:lsdException w:name="Medium Grid 3 Accent 2" w:uiPriority="69"/>
    <w:lsdException w:name="Dark List Accent 2" w:uiPriority="70" w:qFormat="1"/>
    <w:lsdException w:name="Colorful Shading Accent 2" w:uiPriority="71" w:qFormat="1"/>
    <w:lsdException w:name="Colorful List Accent 2" w:uiPriority="72" w:qFormat="1"/>
    <w:lsdException w:name="Colorful Grid Accent 2" w:uiPriority="73" w:qFormat="1"/>
    <w:lsdException w:name="Light Shading Accent 3" w:uiPriority="60" w:qFormat="1"/>
    <w:lsdException w:name="Light List Accent 3" w:uiPriority="61" w:qFormat="1"/>
    <w:lsdException w:name="Light Grid Accent 3" w:uiPriority="62" w:qFormat="1"/>
    <w:lsdException w:name="Medium Shading 1 Accent 3" w:uiPriority="63" w:qFormat="1"/>
    <w:lsdException w:name="Medium Shading 2 Accent 3" w:uiPriority="64"/>
    <w:lsdException w:name="Medium List 1 Accent 3" w:uiPriority="65"/>
    <w:lsdException w:name="Medium List 2 Accent 3" w:uiPriority="66" w:qFormat="1"/>
    <w:lsdException w:name="Medium Grid 1 Accent 3" w:uiPriority="67" w:qFormat="1"/>
    <w:lsdException w:name="Medium Grid 2 Accent 3" w:uiPriority="68"/>
    <w:lsdException w:name="Medium Grid 3 Accent 3" w:uiPriority="69" w:qFormat="1"/>
    <w:lsdException w:name="Dark List Accent 3" w:uiPriority="70" w:qFormat="1"/>
    <w:lsdException w:name="Colorful Shading Accent 3" w:uiPriority="71" w:qFormat="1"/>
    <w:lsdException w:name="Colorful List Accent 3" w:uiPriority="72" w:qFormat="1"/>
    <w:lsdException w:name="Colorful Grid Accent 3" w:uiPriority="73" w:qFormat="1"/>
    <w:lsdException w:name="Light Shading Accent 4" w:uiPriority="60" w:qFormat="1"/>
    <w:lsdException w:name="Light List Accent 4" w:uiPriority="61" w:qFormat="1"/>
    <w:lsdException w:name="Light Grid Accent 4" w:uiPriority="62" w:qFormat="1"/>
    <w:lsdException w:name="Medium Shading 1 Accent 4" w:uiPriority="63" w:qFormat="1"/>
    <w:lsdException w:name="Medium Shading 2 Accent 4" w:uiPriority="64" w:qFormat="1"/>
    <w:lsdException w:name="Medium List 1 Accent 4" w:uiPriority="65" w:qFormat="1"/>
    <w:lsdException w:name="Medium List 2 Accent 4" w:uiPriority="66" w:qFormat="1"/>
    <w:lsdException w:name="Medium Grid 1 Accent 4" w:uiPriority="67"/>
    <w:lsdException w:name="Medium Grid 2 Accent 4" w:uiPriority="68" w:qFormat="1"/>
    <w:lsdException w:name="Medium Grid 3 Accent 4" w:uiPriority="69" w:qFormat="1"/>
    <w:lsdException w:name="Dark List Accent 4" w:uiPriority="70" w:qFormat="1"/>
    <w:lsdException w:name="Colorful Shading Accent 4" w:uiPriority="71" w:qFormat="1"/>
    <w:lsdException w:name="Colorful List Accent 4" w:uiPriority="72" w:qFormat="1"/>
    <w:lsdException w:name="Colorful Grid Accent 4" w:uiPriority="73" w:qFormat="1"/>
    <w:lsdException w:name="Light Shading Accent 5" w:uiPriority="60" w:qFormat="1"/>
    <w:lsdException w:name="Light List Accent 5" w:uiPriority="61" w:qFormat="1"/>
    <w:lsdException w:name="Light Grid Accent 5" w:uiPriority="62" w:qFormat="1"/>
    <w:lsdException w:name="Medium Shading 1 Accent 5" w:uiPriority="63"/>
    <w:lsdException w:name="Medium Shading 2 Accent 5" w:uiPriority="64"/>
    <w:lsdException w:name="Medium List 1 Accent 5" w:uiPriority="65"/>
    <w:lsdException w:name="Medium List 2 Accent 5" w:uiPriority="66" w:qFormat="1"/>
    <w:lsdException w:name="Medium Grid 1 Accent 5" w:uiPriority="67" w:qFormat="1"/>
    <w:lsdException w:name="Medium Grid 2 Accent 5" w:uiPriority="68" w:qFormat="1"/>
    <w:lsdException w:name="Medium Grid 3 Accent 5" w:uiPriority="69" w:qFormat="1"/>
    <w:lsdException w:name="Dark List Accent 5" w:uiPriority="70" w:qFormat="1"/>
    <w:lsdException w:name="Colorful Shading Accent 5" w:uiPriority="71" w:qFormat="1"/>
    <w:lsdException w:name="Colorful List Accent 5" w:uiPriority="72" w:qFormat="1"/>
    <w:lsdException w:name="Colorful Grid Accent 5" w:uiPriority="73" w:qFormat="1"/>
    <w:lsdException w:name="Light Shading Accent 6" w:uiPriority="60" w:qFormat="1"/>
    <w:lsdException w:name="Light List Accent 6" w:uiPriority="61" w:qFormat="1"/>
    <w:lsdException w:name="Light Grid Accent 6" w:uiPriority="62" w:qFormat="1"/>
    <w:lsdException w:name="Medium Shading 1 Accent 6" w:uiPriority="63" w:qFormat="1"/>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qFormat="1"/>
    <w:lsdException w:name="Colorful Shading Accent 6" w:uiPriority="71" w:qFormat="1"/>
    <w:lsdException w:name="Colorful List Accent 6" w:uiPriority="72" w:qFormat="1"/>
    <w:lsdException w:name="Colorful Grid Accent 6" w:uiPriority="73" w:qFormat="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spacing w:after="200" w:line="276" w:lineRule="auto"/>
    </w:pPr>
    <w:rPr>
      <w:rFonts w:ascii="Calibri" w:hAnsi="Calibri" w:eastAsia="Calibri" w:cstheme="minorBidi"/>
      <w:sz w:val="22"/>
      <w:szCs w:val="22"/>
      <w:lang w:val="es-ES" w:eastAsia="en-US"/>
    </w:rPr>
  </w:style>
  <w:style w:type="paragraph" w:styleId="Ttulo1">
    <w:name w:val="heading 1"/>
    <w:basedOn w:val="Normal"/>
    <w:next w:val="Normal"/>
    <w:link w:val="Ttulo1Car"/>
    <w:uiPriority w:val="9"/>
    <w:qFormat/>
    <w:pPr>
      <w:keepNext/>
      <w:keepLines/>
      <w:spacing w:before="480" w:after="0"/>
      <w:outlineLvl w:val="0"/>
    </w:pPr>
    <w:rPr>
      <w:rFonts w:asciiTheme="majorHAnsi" w:hAnsiTheme="majorHAnsi" w:eastAsiaTheme="majorEastAsia" w:cstheme="majorBidi"/>
      <w:b/>
      <w:bCs/>
      <w:color w:val="365F91" w:themeColor="accent1" w:themeShade="BF"/>
      <w:sz w:val="28"/>
      <w:szCs w:val="28"/>
    </w:rPr>
  </w:style>
  <w:style w:type="paragraph" w:styleId="Ttulo2">
    <w:name w:val="heading 2"/>
    <w:basedOn w:val="Normal"/>
    <w:next w:val="Normal"/>
    <w:link w:val="Ttulo2Car1"/>
    <w:uiPriority w:val="9"/>
    <w:unhideWhenUsed/>
    <w:qFormat/>
    <w:pPr>
      <w:keepNext/>
      <w:keepLines/>
      <w:spacing w:before="200" w:after="0"/>
      <w:outlineLvl w:val="1"/>
    </w:pPr>
    <w:rPr>
      <w:rFonts w:asciiTheme="majorHAnsi" w:hAnsiTheme="majorHAnsi" w:eastAsiaTheme="majorEastAsia" w:cstheme="majorBidi"/>
      <w:b/>
      <w:bCs/>
      <w:color w:val="4F81BD" w:themeColor="accent1"/>
      <w:sz w:val="26"/>
      <w:szCs w:val="26"/>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hAnsiTheme="majorHAnsi" w:eastAsiaTheme="majorEastAsia" w:cstheme="majorBidi"/>
      <w:b/>
      <w:bCs/>
      <w:color w:val="4F81BD" w:themeColor="accent1"/>
    </w:rPr>
  </w:style>
  <w:style w:type="paragraph" w:styleId="Ttulo4">
    <w:name w:val="heading 4"/>
    <w:basedOn w:val="Normal"/>
    <w:next w:val="Normal"/>
    <w:link w:val="Ttulo4Car"/>
    <w:uiPriority w:val="9"/>
    <w:unhideWhenUsed/>
    <w:qFormat/>
    <w:pPr>
      <w:keepNext/>
      <w:keepLines/>
      <w:spacing w:before="200" w:after="0"/>
      <w:outlineLvl w:val="3"/>
    </w:pPr>
    <w:rPr>
      <w:rFonts w:asciiTheme="majorHAnsi" w:hAnsiTheme="majorHAnsi" w:eastAsiaTheme="majorEastAsia" w:cstheme="majorBidi"/>
      <w:b/>
      <w:bCs/>
      <w:i/>
      <w:iCs/>
      <w:color w:val="4F81BD" w:themeColor="accent1"/>
    </w:rPr>
  </w:style>
  <w:style w:type="paragraph" w:styleId="Ttulo5">
    <w:name w:val="heading 5"/>
    <w:basedOn w:val="Normal"/>
    <w:next w:val="Normal"/>
    <w:link w:val="Ttulo5Car"/>
    <w:uiPriority w:val="9"/>
    <w:semiHidden/>
    <w:unhideWhenUsed/>
    <w:qFormat/>
    <w:pPr>
      <w:keepNext/>
      <w:keepLines/>
      <w:spacing w:before="200" w:after="0"/>
      <w:outlineLvl w:val="4"/>
    </w:pPr>
    <w:rPr>
      <w:rFonts w:asciiTheme="majorHAnsi" w:hAnsiTheme="majorHAnsi" w:eastAsiaTheme="majorEastAsia" w:cstheme="majorBidi"/>
      <w:color w:val="243F60"/>
    </w:rPr>
  </w:style>
  <w:style w:type="paragraph" w:styleId="Ttulo6">
    <w:name w:val="heading 6"/>
    <w:basedOn w:val="Normal"/>
    <w:next w:val="Normal"/>
    <w:link w:val="Ttulo6Car"/>
    <w:uiPriority w:val="9"/>
    <w:semiHidden/>
    <w:unhideWhenUsed/>
    <w:qFormat/>
    <w:pPr>
      <w:keepNext/>
      <w:keepLines/>
      <w:spacing w:before="200" w:after="0"/>
      <w:outlineLvl w:val="5"/>
    </w:pPr>
    <w:rPr>
      <w:rFonts w:asciiTheme="majorHAnsi" w:hAnsiTheme="majorHAnsi" w:eastAsiaTheme="majorEastAsia" w:cstheme="majorBidi"/>
      <w:i/>
      <w:iCs/>
      <w:color w:val="243F60"/>
    </w:rPr>
  </w:style>
  <w:style w:type="paragraph" w:styleId="Ttulo7">
    <w:name w:val="heading 7"/>
    <w:basedOn w:val="Normal"/>
    <w:next w:val="Normal"/>
    <w:link w:val="Ttulo7Car"/>
    <w:uiPriority w:val="9"/>
    <w:semiHidden/>
    <w:unhideWhenUsed/>
    <w:qFormat/>
    <w:pPr>
      <w:keepNext/>
      <w:keepLines/>
      <w:spacing w:before="200" w:after="0"/>
      <w:outlineLvl w:val="6"/>
    </w:pPr>
    <w:rPr>
      <w:rFonts w:asciiTheme="majorHAnsi" w:hAnsiTheme="majorHAnsi" w:eastAsiaTheme="majorEastAsia" w:cstheme="majorBidi"/>
      <w:i/>
      <w:iCs/>
      <w:color w:val="404040" w:themeColor="text1" w:themeTint="BF"/>
    </w:rPr>
  </w:style>
  <w:style w:type="paragraph" w:styleId="Ttulo8">
    <w:name w:val="heading 8"/>
    <w:basedOn w:val="Normal"/>
    <w:next w:val="Normal"/>
    <w:link w:val="Ttulo8Car"/>
    <w:uiPriority w:val="9"/>
    <w:semiHidden/>
    <w:unhideWhenUsed/>
    <w:qFormat/>
    <w:pPr>
      <w:keepNext/>
      <w:keepLines/>
      <w:spacing w:before="200" w:after="0"/>
      <w:outlineLvl w:val="7"/>
    </w:pPr>
    <w:rPr>
      <w:rFonts w:asciiTheme="majorHAnsi" w:hAnsiTheme="majorHAnsi" w:eastAsiaTheme="majorEastAsia" w:cstheme="majorBidi"/>
      <w:color w:val="4F81BD" w:themeColor="accent1"/>
      <w:sz w:val="20"/>
      <w:szCs w:val="20"/>
    </w:rPr>
  </w:style>
  <w:style w:type="paragraph" w:styleId="Ttulo9">
    <w:name w:val="heading 9"/>
    <w:basedOn w:val="Normal"/>
    <w:next w:val="Normal"/>
    <w:link w:val="Ttulo9Car"/>
    <w:uiPriority w:val="9"/>
    <w:semiHidden/>
    <w:unhideWhenUsed/>
    <w:qFormat/>
    <w:pPr>
      <w:keepNext/>
      <w:keepLines/>
      <w:spacing w:before="200" w:after="0"/>
      <w:outlineLvl w:val="8"/>
    </w:pPr>
    <w:rPr>
      <w:rFonts w:asciiTheme="majorHAnsi" w:hAnsiTheme="majorHAnsi" w:eastAsiaTheme="majorEastAsia" w:cstheme="majorBidi"/>
      <w:i/>
      <w:iCs/>
      <w:color w:val="404040" w:themeColor="text1" w:themeTint="BF"/>
      <w:sz w:val="20"/>
      <w:szCs w:val="20"/>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Refdenotaalfinal">
    <w:name w:val="endnote reference"/>
    <w:basedOn w:val="Fuentedeprrafopredeter"/>
    <w:uiPriority w:val="99"/>
    <w:semiHidden/>
    <w:unhideWhenUsed/>
    <w:qFormat/>
    <w:rPr>
      <w:vertAlign w:val="superscript"/>
    </w:rPr>
  </w:style>
  <w:style w:type="character" w:styleId="Refdecomentario">
    <w:name w:val="annotation reference"/>
    <w:basedOn w:val="Fuentedeprrafopredeter"/>
    <w:uiPriority w:val="99"/>
    <w:semiHidden/>
    <w:unhideWhenUsed/>
    <w:qFormat/>
    <w:rPr>
      <w:sz w:val="16"/>
      <w:szCs w:val="16"/>
    </w:rPr>
  </w:style>
  <w:style w:type="character" w:styleId="Refdenotaalpie">
    <w:name w:val="footnote reference"/>
    <w:basedOn w:val="Fuentedeprrafopredeter"/>
    <w:uiPriority w:val="99"/>
    <w:semiHidden/>
    <w:unhideWhenUsed/>
    <w:qFormat/>
    <w:rPr>
      <w:vertAlign w:val="superscript"/>
    </w:rPr>
  </w:style>
  <w:style w:type="character" w:styleId="nfasis">
    <w:name w:val="Emphasis"/>
    <w:basedOn w:val="Fuentedeprrafopredeter"/>
    <w:uiPriority w:val="20"/>
    <w:qFormat/>
    <w:rPr>
      <w:i/>
      <w:iCs/>
    </w:rPr>
  </w:style>
  <w:style w:type="character" w:styleId="Hipervnculo">
    <w:name w:val="Hyperlink"/>
    <w:basedOn w:val="Fuentedeprrafopredeter"/>
    <w:uiPriority w:val="99"/>
    <w:unhideWhenUsed/>
    <w:qFormat/>
    <w:rPr>
      <w:color w:val="0000FF" w:themeColor="hyperlink"/>
      <w:u w:val="single"/>
    </w:rPr>
  </w:style>
  <w:style w:type="character" w:styleId="Hipervnculovisitado">
    <w:name w:val="FollowedHyperlink"/>
    <w:basedOn w:val="Fuentedeprrafopredeter"/>
    <w:uiPriority w:val="99"/>
    <w:semiHidden/>
    <w:unhideWhenUsed/>
    <w:qFormat/>
    <w:rPr>
      <w:color w:val="800080" w:themeColor="followedHyperlink"/>
      <w:u w:val="single"/>
    </w:rPr>
  </w:style>
  <w:style w:type="character" w:styleId="Textoennegrita">
    <w:name w:val="Strong"/>
    <w:basedOn w:val="Fuentedeprrafopredeter"/>
    <w:uiPriority w:val="22"/>
    <w:qFormat/>
    <w:rPr>
      <w:b/>
      <w:bCs/>
    </w:rPr>
  </w:style>
  <w:style w:type="paragraph" w:styleId="Continuarlista2">
    <w:name w:val="List Continue 2"/>
    <w:basedOn w:val="Normal"/>
    <w:uiPriority w:val="99"/>
    <w:unhideWhenUsed/>
    <w:qFormat/>
    <w:pPr>
      <w:spacing w:after="120"/>
      <w:ind w:left="720"/>
      <w:contextualSpacing/>
    </w:pPr>
  </w:style>
  <w:style w:type="paragraph" w:styleId="TDC3">
    <w:name w:val="toc 3"/>
    <w:basedOn w:val="Normal"/>
    <w:next w:val="Normal"/>
    <w:uiPriority w:val="39"/>
    <w:unhideWhenUsed/>
    <w:qFormat/>
    <w:pPr>
      <w:spacing w:after="100"/>
      <w:ind w:left="440"/>
    </w:pPr>
  </w:style>
  <w:style w:type="paragraph" w:styleId="Textonotapie">
    <w:name w:val="footnote text"/>
    <w:basedOn w:val="Normal"/>
    <w:link w:val="TextonotapieCar"/>
    <w:uiPriority w:val="99"/>
    <w:semiHidden/>
    <w:unhideWhenUsed/>
    <w:qFormat/>
    <w:pPr>
      <w:spacing w:after="0" w:line="240" w:lineRule="auto"/>
    </w:pPr>
    <w:rPr>
      <w:sz w:val="20"/>
      <w:szCs w:val="20"/>
    </w:rPr>
  </w:style>
  <w:style w:type="paragraph" w:styleId="Descripcin">
    <w:name w:val="caption"/>
    <w:basedOn w:val="Normal"/>
    <w:next w:val="Normal"/>
    <w:uiPriority w:val="35"/>
    <w:unhideWhenUsed/>
    <w:qFormat/>
    <w:pPr>
      <w:spacing w:line="240" w:lineRule="auto"/>
    </w:pPr>
    <w:rPr>
      <w:b/>
      <w:bCs/>
      <w:color w:val="4F81BD" w:themeColor="accent1"/>
      <w:sz w:val="18"/>
      <w:szCs w:val="18"/>
    </w:rPr>
  </w:style>
  <w:style w:type="paragraph" w:styleId="TDC1">
    <w:name w:val="toc 1"/>
    <w:basedOn w:val="Normal"/>
    <w:next w:val="Normal"/>
    <w:uiPriority w:val="39"/>
    <w:unhideWhenUsed/>
    <w:qFormat/>
    <w:pPr>
      <w:spacing w:after="100"/>
    </w:pPr>
  </w:style>
  <w:style w:type="paragraph" w:styleId="TDC2">
    <w:name w:val="toc 2"/>
    <w:basedOn w:val="Normal"/>
    <w:next w:val="Normal"/>
    <w:uiPriority w:val="39"/>
    <w:unhideWhenUsed/>
    <w:qFormat/>
    <w:pPr>
      <w:spacing w:after="100"/>
      <w:ind w:left="220"/>
    </w:pPr>
  </w:style>
  <w:style w:type="paragraph" w:styleId="Textomacro">
    <w:name w:val="macro"/>
    <w:link w:val="TextomacroCar"/>
    <w:uiPriority w:val="99"/>
    <w:unhideWhenUsed/>
    <w:qFormat/>
    <w:pPr>
      <w:tabs>
        <w:tab w:val="left" w:pos="576"/>
        <w:tab w:val="left" w:pos="1152"/>
        <w:tab w:val="left" w:pos="1728"/>
        <w:tab w:val="left" w:pos="2304"/>
        <w:tab w:val="left" w:pos="2880"/>
        <w:tab w:val="left" w:pos="3456"/>
        <w:tab w:val="left" w:pos="4032"/>
      </w:tabs>
      <w:spacing w:after="200" w:line="276" w:lineRule="auto"/>
    </w:pPr>
    <w:rPr>
      <w:rFonts w:ascii="Courier" w:hAnsi="Courier" w:eastAsiaTheme="minorEastAsia" w:cstheme="minorBidi"/>
      <w:lang w:val="en-US" w:eastAsia="en-US"/>
    </w:rPr>
  </w:style>
  <w:style w:type="paragraph" w:styleId="Textonotaalfinal">
    <w:name w:val="endnote text"/>
    <w:basedOn w:val="Normal"/>
    <w:uiPriority w:val="99"/>
    <w:semiHidden/>
    <w:unhideWhenUsed/>
    <w:qFormat/>
    <w:pPr>
      <w:spacing w:after="0" w:line="240" w:lineRule="auto"/>
    </w:pPr>
    <w:rPr>
      <w:sz w:val="20"/>
      <w:szCs w:val="20"/>
    </w:rPr>
  </w:style>
  <w:style w:type="paragraph" w:styleId="Continuarlista3">
    <w:name w:val="List Continue 3"/>
    <w:basedOn w:val="Normal"/>
    <w:uiPriority w:val="99"/>
    <w:unhideWhenUsed/>
    <w:qFormat/>
    <w:pPr>
      <w:spacing w:after="120"/>
      <w:ind w:left="1080"/>
      <w:contextualSpacing/>
    </w:pPr>
  </w:style>
  <w:style w:type="paragraph" w:styleId="Textocomentario">
    <w:name w:val="annotation text"/>
    <w:basedOn w:val="Normal"/>
    <w:link w:val="TextocomentarioCar"/>
    <w:uiPriority w:val="99"/>
    <w:semiHidden/>
    <w:unhideWhenUsed/>
    <w:qFormat/>
    <w:pPr>
      <w:spacing w:line="240" w:lineRule="auto"/>
    </w:pPr>
    <w:rPr>
      <w:sz w:val="20"/>
      <w:szCs w:val="20"/>
    </w:rPr>
  </w:style>
  <w:style w:type="paragraph" w:styleId="Tabladeilustraciones">
    <w:name w:val="table of figures"/>
    <w:basedOn w:val="Normal"/>
    <w:next w:val="Normal"/>
    <w:uiPriority w:val="99"/>
    <w:unhideWhenUsed/>
    <w:qFormat/>
    <w:pPr>
      <w:spacing w:after="0"/>
    </w:pPr>
  </w:style>
  <w:style w:type="paragraph" w:styleId="TDC4">
    <w:name w:val="toc 4"/>
    <w:basedOn w:val="Normal"/>
    <w:next w:val="Normal"/>
    <w:uiPriority w:val="39"/>
    <w:unhideWhenUsed/>
    <w:qFormat/>
    <w:pPr>
      <w:spacing w:after="100"/>
      <w:ind w:left="660"/>
    </w:pPr>
  </w:style>
  <w:style w:type="paragraph" w:styleId="Continuarlista">
    <w:name w:val="List Continue"/>
    <w:basedOn w:val="Normal"/>
    <w:uiPriority w:val="99"/>
    <w:unhideWhenUsed/>
    <w:qFormat/>
    <w:pPr>
      <w:spacing w:after="120"/>
      <w:ind w:left="360"/>
      <w:contextualSpacing/>
    </w:pPr>
  </w:style>
  <w:style w:type="paragraph" w:styleId="Textoindependiente2">
    <w:name w:val="Body Text 2"/>
    <w:basedOn w:val="Normal"/>
    <w:link w:val="Textoindependiente2Car"/>
    <w:uiPriority w:val="99"/>
    <w:unhideWhenUsed/>
    <w:qFormat/>
    <w:pPr>
      <w:spacing w:after="120" w:line="480" w:lineRule="auto"/>
    </w:pPr>
  </w:style>
  <w:style w:type="paragraph" w:styleId="Lista3">
    <w:name w:val="List 3"/>
    <w:basedOn w:val="Normal"/>
    <w:uiPriority w:val="99"/>
    <w:unhideWhenUsed/>
    <w:qFormat/>
    <w:pPr>
      <w:ind w:left="1080" w:hanging="360"/>
      <w:contextualSpacing/>
    </w:pPr>
  </w:style>
  <w:style w:type="paragraph" w:styleId="Listaconnmeros2">
    <w:name w:val="List Number 2"/>
    <w:basedOn w:val="Normal"/>
    <w:uiPriority w:val="99"/>
    <w:unhideWhenUsed/>
    <w:qFormat/>
    <w:pPr>
      <w:numPr>
        <w:numId w:val="1"/>
      </w:numPr>
      <w:contextualSpacing/>
    </w:pPr>
  </w:style>
  <w:style w:type="paragraph" w:styleId="Encabezado">
    <w:name w:val="header"/>
    <w:basedOn w:val="Normal"/>
    <w:link w:val="EncabezadoCar"/>
    <w:uiPriority w:val="99"/>
    <w:unhideWhenUsed/>
    <w:qFormat/>
    <w:pPr>
      <w:tabs>
        <w:tab w:val="center" w:pos="4680"/>
        <w:tab w:val="right" w:pos="9360"/>
      </w:tabs>
      <w:spacing w:after="0" w:line="240" w:lineRule="auto"/>
    </w:pPr>
  </w:style>
  <w:style w:type="paragraph" w:styleId="Listaconnmeros3">
    <w:name w:val="List Number 3"/>
    <w:basedOn w:val="Normal"/>
    <w:uiPriority w:val="99"/>
    <w:unhideWhenUsed/>
    <w:qFormat/>
    <w:pPr>
      <w:numPr>
        <w:numId w:val="2"/>
      </w:numPr>
      <w:contextualSpacing/>
    </w:pPr>
  </w:style>
  <w:style w:type="paragraph" w:styleId="Listaconnmeros">
    <w:name w:val="List Number"/>
    <w:basedOn w:val="Normal"/>
    <w:uiPriority w:val="99"/>
    <w:unhideWhenUsed/>
    <w:qFormat/>
    <w:pPr>
      <w:numPr>
        <w:numId w:val="3"/>
      </w:numPr>
      <w:contextualSpacing/>
    </w:pPr>
  </w:style>
  <w:style w:type="paragraph" w:styleId="Lista2">
    <w:name w:val="List 2"/>
    <w:basedOn w:val="Normal"/>
    <w:uiPriority w:val="99"/>
    <w:unhideWhenUsed/>
    <w:qFormat/>
    <w:pPr>
      <w:ind w:left="720" w:hanging="360"/>
      <w:contextualSpacing/>
    </w:pPr>
  </w:style>
  <w:style w:type="paragraph" w:styleId="Listaconvietas3">
    <w:name w:val="List Bullet 3"/>
    <w:basedOn w:val="Normal"/>
    <w:uiPriority w:val="99"/>
    <w:unhideWhenUsed/>
    <w:qFormat/>
    <w:pPr>
      <w:numPr>
        <w:numId w:val="4"/>
      </w:numPr>
      <w:contextualSpacing/>
    </w:pPr>
  </w:style>
  <w:style w:type="paragraph" w:styleId="Lista">
    <w:name w:val="List"/>
    <w:basedOn w:val="Normal"/>
    <w:uiPriority w:val="99"/>
    <w:unhideWhenUsed/>
    <w:qFormat/>
    <w:pPr>
      <w:ind w:left="360" w:hanging="360"/>
      <w:contextualSpacing/>
    </w:pPr>
  </w:style>
  <w:style w:type="paragraph" w:styleId="Listaconvietas">
    <w:name w:val="List Bullet"/>
    <w:basedOn w:val="Normal"/>
    <w:uiPriority w:val="99"/>
    <w:unhideWhenUsed/>
    <w:qFormat/>
    <w:pPr>
      <w:numPr>
        <w:numId w:val="5"/>
      </w:numPr>
      <w:contextualSpacing/>
    </w:pPr>
  </w:style>
  <w:style w:type="paragraph" w:styleId="Listaconvietas2">
    <w:name w:val="List Bullet 2"/>
    <w:basedOn w:val="Normal"/>
    <w:uiPriority w:val="99"/>
    <w:unhideWhenUsed/>
    <w:qFormat/>
    <w:pPr>
      <w:numPr>
        <w:numId w:val="6"/>
      </w:numPr>
      <w:contextualSpacing/>
    </w:pPr>
  </w:style>
  <w:style w:type="paragraph" w:styleId="NormalWeb">
    <w:name w:val="Normal (Web)"/>
    <w:basedOn w:val="Normal"/>
    <w:uiPriority w:val="99"/>
    <w:unhideWhenUsed/>
    <w:qFormat/>
    <w:rPr>
      <w:rFonts w:ascii="Times New Roman" w:hAnsi="Times New Roman" w:cs="Times New Roman"/>
      <w:sz w:val="24"/>
      <w:szCs w:val="24"/>
    </w:rPr>
  </w:style>
  <w:style w:type="paragraph" w:styleId="Piedepgina">
    <w:name w:val="footer"/>
    <w:basedOn w:val="Normal"/>
    <w:link w:val="PiedepginaCar"/>
    <w:uiPriority w:val="99"/>
    <w:unhideWhenUsed/>
    <w:qFormat/>
    <w:pPr>
      <w:tabs>
        <w:tab w:val="center" w:pos="4680"/>
        <w:tab w:val="right" w:pos="9360"/>
      </w:tabs>
      <w:spacing w:after="0" w:line="240" w:lineRule="auto"/>
    </w:pPr>
  </w:style>
  <w:style w:type="paragraph" w:styleId="Subttulo">
    <w:name w:val="Subtitle"/>
    <w:basedOn w:val="Normal"/>
    <w:next w:val="Normal"/>
    <w:link w:val="SubttuloCar"/>
    <w:uiPriority w:val="11"/>
    <w:qFormat/>
    <w:rPr>
      <w:rFonts w:asciiTheme="majorHAnsi" w:hAnsiTheme="majorHAnsi" w:eastAsiaTheme="majorEastAsia" w:cstheme="majorBidi"/>
      <w:i/>
      <w:iCs/>
      <w:color w:val="4F81BD" w:themeColor="accent1"/>
      <w:sz w:val="24"/>
      <w:szCs w:val="24"/>
    </w:rPr>
  </w:style>
  <w:style w:type="paragraph" w:styleId="Textoindependiente">
    <w:name w:val="Body Text"/>
    <w:basedOn w:val="Normal"/>
    <w:link w:val="TextoindependienteCar"/>
    <w:uiPriority w:val="99"/>
    <w:unhideWhenUsed/>
    <w:qFormat/>
    <w:pPr>
      <w:spacing w:after="120"/>
    </w:pPr>
  </w:style>
  <w:style w:type="paragraph" w:styleId="Textoindependiente3">
    <w:name w:val="Body Text 3"/>
    <w:basedOn w:val="Normal"/>
    <w:link w:val="Textoindependiente3Car"/>
    <w:uiPriority w:val="99"/>
    <w:unhideWhenUsed/>
    <w:qFormat/>
    <w:pPr>
      <w:spacing w:after="120"/>
    </w:pPr>
    <w:rPr>
      <w:sz w:val="16"/>
      <w:szCs w:val="16"/>
    </w:rPr>
  </w:style>
  <w:style w:type="paragraph" w:styleId="Ttulo">
    <w:name w:val="Title"/>
    <w:basedOn w:val="Normal"/>
    <w:next w:val="Normal"/>
    <w:link w:val="TtuloCar"/>
    <w:uiPriority w:val="10"/>
    <w:qFormat/>
    <w:pPr>
      <w:pBdr>
        <w:bottom w:val="single" w:color="4F81BD" w:themeColor="accent1" w:sz="8" w:space="4"/>
      </w:pBdr>
      <w:spacing w:after="300" w:line="240" w:lineRule="auto"/>
      <w:contextualSpacing/>
    </w:pPr>
    <w:rPr>
      <w:rFonts w:asciiTheme="majorHAnsi" w:hAnsiTheme="majorHAnsi" w:eastAsiaTheme="majorEastAsia" w:cstheme="majorBidi"/>
      <w:color w:val="17365D" w:themeColor="text2" w:themeShade="BF"/>
      <w:sz w:val="52"/>
      <w:szCs w:val="52"/>
    </w:rPr>
  </w:style>
  <w:style w:type="table" w:styleId="Tablaconcuadrcula">
    <w:name w:val="Table Grid"/>
    <w:basedOn w:val="Tablanormal"/>
    <w:uiPriority w:val="39"/>
    <w:qFormat/>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EncabezadoCar" w:customStyle="1">
    <w:name w:val="Encabezado Car"/>
    <w:basedOn w:val="Fuentedeprrafopredeter"/>
    <w:link w:val="Encabezado"/>
    <w:uiPriority w:val="99"/>
    <w:qFormat/>
  </w:style>
  <w:style w:type="character" w:styleId="PiedepginaCar" w:customStyle="1">
    <w:name w:val="Pie de página Car"/>
    <w:basedOn w:val="Fuentedeprrafopredeter"/>
    <w:link w:val="Piedepgina"/>
    <w:uiPriority w:val="99"/>
    <w:qFormat/>
  </w:style>
  <w:style w:type="paragraph" w:styleId="Sinespaciado">
    <w:name w:val="No Spacing"/>
    <w:uiPriority w:val="1"/>
    <w:qFormat/>
    <w:rPr>
      <w:rFonts w:asciiTheme="minorHAnsi" w:hAnsiTheme="minorHAnsi" w:eastAsiaTheme="minorEastAsia" w:cstheme="minorBidi"/>
      <w:sz w:val="22"/>
      <w:szCs w:val="22"/>
      <w:lang w:val="en-US" w:eastAsia="en-US"/>
    </w:rPr>
  </w:style>
  <w:style w:type="character" w:styleId="Ttulo1Car" w:customStyle="1">
    <w:name w:val="Título 1 Car"/>
    <w:basedOn w:val="Fuentedeprrafopredeter"/>
    <w:link w:val="Ttulo1"/>
    <w:uiPriority w:val="9"/>
    <w:qFormat/>
    <w:rPr>
      <w:rFonts w:asciiTheme="majorHAnsi" w:hAnsiTheme="majorHAnsi" w:eastAsiaTheme="majorEastAsia" w:cstheme="majorBidi"/>
      <w:b/>
      <w:bCs/>
      <w:color w:val="365F91" w:themeColor="accent1" w:themeShade="BF"/>
      <w:sz w:val="28"/>
      <w:szCs w:val="28"/>
    </w:rPr>
  </w:style>
  <w:style w:type="character" w:styleId="Ttulo2Car1" w:customStyle="1">
    <w:name w:val="Título 2 Car1"/>
    <w:basedOn w:val="Fuentedeprrafopredeter"/>
    <w:link w:val="Ttulo2"/>
    <w:uiPriority w:val="9"/>
    <w:qFormat/>
    <w:rPr>
      <w:rFonts w:asciiTheme="majorHAnsi" w:hAnsiTheme="majorHAnsi" w:eastAsiaTheme="majorEastAsia" w:cstheme="majorBidi"/>
      <w:b/>
      <w:bCs/>
      <w:color w:val="4F81BD" w:themeColor="accent1"/>
      <w:sz w:val="26"/>
      <w:szCs w:val="26"/>
    </w:rPr>
  </w:style>
  <w:style w:type="character" w:styleId="Ttulo3Car" w:customStyle="1">
    <w:name w:val="Título 3 Car"/>
    <w:basedOn w:val="Fuentedeprrafopredeter"/>
    <w:link w:val="Ttulo3"/>
    <w:uiPriority w:val="9"/>
    <w:qFormat/>
    <w:rPr>
      <w:rFonts w:asciiTheme="majorHAnsi" w:hAnsiTheme="majorHAnsi" w:eastAsiaTheme="majorEastAsia" w:cstheme="majorBidi"/>
      <w:b/>
      <w:bCs/>
      <w:color w:val="4F81BD" w:themeColor="accent1"/>
    </w:rPr>
  </w:style>
  <w:style w:type="character" w:styleId="TtuloCar" w:customStyle="1">
    <w:name w:val="Título Car"/>
    <w:basedOn w:val="Fuentedeprrafopredeter"/>
    <w:link w:val="Ttulo"/>
    <w:uiPriority w:val="10"/>
    <w:qFormat/>
    <w:rPr>
      <w:rFonts w:asciiTheme="majorHAnsi" w:hAnsiTheme="majorHAnsi" w:eastAsiaTheme="majorEastAsia" w:cstheme="majorBidi"/>
      <w:color w:val="17365D" w:themeColor="text2" w:themeShade="BF"/>
      <w:spacing w:val="5"/>
      <w:kern w:val="28"/>
      <w:sz w:val="52"/>
      <w:szCs w:val="52"/>
    </w:rPr>
  </w:style>
  <w:style w:type="character" w:styleId="SubttuloCar" w:customStyle="1">
    <w:name w:val="Subtítulo Car"/>
    <w:basedOn w:val="Fuentedeprrafopredeter"/>
    <w:link w:val="Subttulo"/>
    <w:uiPriority w:val="11"/>
    <w:qFormat/>
    <w:rPr>
      <w:rFonts w:asciiTheme="majorHAnsi" w:hAnsiTheme="majorHAnsi" w:eastAsiaTheme="majorEastAsia" w:cstheme="majorBidi"/>
      <w:i/>
      <w:iCs/>
      <w:color w:val="4F81BD" w:themeColor="accent1"/>
      <w:spacing w:val="15"/>
      <w:sz w:val="24"/>
      <w:szCs w:val="24"/>
    </w:rPr>
  </w:style>
  <w:style w:type="paragraph" w:styleId="Prrafodelista">
    <w:name w:val="List Paragraph"/>
    <w:basedOn w:val="Normal"/>
    <w:uiPriority w:val="34"/>
    <w:qFormat/>
    <w:pPr>
      <w:ind w:left="720"/>
      <w:contextualSpacing/>
    </w:pPr>
  </w:style>
  <w:style w:type="character" w:styleId="TextoindependienteCar" w:customStyle="1">
    <w:name w:val="Texto independiente Car"/>
    <w:basedOn w:val="Fuentedeprrafopredeter"/>
    <w:link w:val="Textoindependiente"/>
    <w:uiPriority w:val="99"/>
    <w:qFormat/>
  </w:style>
  <w:style w:type="character" w:styleId="Textoindependiente2Car" w:customStyle="1">
    <w:name w:val="Texto independiente 2 Car"/>
    <w:basedOn w:val="Fuentedeprrafopredeter"/>
    <w:link w:val="Textoindependiente2"/>
    <w:uiPriority w:val="99"/>
    <w:qFormat/>
  </w:style>
  <w:style w:type="character" w:styleId="Textoindependiente3Car" w:customStyle="1">
    <w:name w:val="Texto independiente 3 Car"/>
    <w:basedOn w:val="Fuentedeprrafopredeter"/>
    <w:link w:val="Textoindependiente3"/>
    <w:uiPriority w:val="99"/>
    <w:qFormat/>
    <w:rPr>
      <w:sz w:val="16"/>
      <w:szCs w:val="16"/>
    </w:rPr>
  </w:style>
  <w:style w:type="character" w:styleId="TextomacroCar" w:customStyle="1">
    <w:name w:val="Texto macro Car"/>
    <w:basedOn w:val="Fuentedeprrafopredeter"/>
    <w:link w:val="Textomacro"/>
    <w:uiPriority w:val="99"/>
    <w:qFormat/>
    <w:rPr>
      <w:rFonts w:ascii="Courier" w:hAnsi="Courier"/>
      <w:sz w:val="20"/>
      <w:szCs w:val="20"/>
    </w:rPr>
  </w:style>
  <w:style w:type="paragraph" w:styleId="Cita">
    <w:name w:val="Quote"/>
    <w:basedOn w:val="Normal"/>
    <w:next w:val="Normal"/>
    <w:link w:val="CitaCar"/>
    <w:uiPriority w:val="29"/>
    <w:qFormat/>
    <w:rPr>
      <w:i/>
      <w:iCs/>
      <w:color w:val="000000" w:themeColor="text1"/>
    </w:rPr>
  </w:style>
  <w:style w:type="character" w:styleId="CitaCar" w:customStyle="1">
    <w:name w:val="Cita Car"/>
    <w:basedOn w:val="Fuentedeprrafopredeter"/>
    <w:link w:val="Cita"/>
    <w:uiPriority w:val="29"/>
    <w:qFormat/>
    <w:rPr>
      <w:i/>
      <w:iCs/>
      <w:color w:val="000000" w:themeColor="text1"/>
    </w:rPr>
  </w:style>
  <w:style w:type="character" w:styleId="Ttulo4Car" w:customStyle="1">
    <w:name w:val="Título 4 Car"/>
    <w:basedOn w:val="Fuentedeprrafopredeter"/>
    <w:link w:val="Ttulo4"/>
    <w:uiPriority w:val="9"/>
    <w:qFormat/>
    <w:rPr>
      <w:rFonts w:asciiTheme="majorHAnsi" w:hAnsiTheme="majorHAnsi" w:eastAsiaTheme="majorEastAsia" w:cstheme="majorBidi"/>
      <w:b/>
      <w:bCs/>
      <w:i/>
      <w:iCs/>
      <w:color w:val="4F81BD" w:themeColor="accent1"/>
    </w:rPr>
  </w:style>
  <w:style w:type="character" w:styleId="Ttulo5Car" w:customStyle="1">
    <w:name w:val="Título 5 Car"/>
    <w:basedOn w:val="Fuentedeprrafopredeter"/>
    <w:link w:val="Ttulo5"/>
    <w:uiPriority w:val="9"/>
    <w:semiHidden/>
    <w:qFormat/>
    <w:rPr>
      <w:rFonts w:asciiTheme="majorHAnsi" w:hAnsiTheme="majorHAnsi" w:eastAsiaTheme="majorEastAsia" w:cstheme="majorBidi"/>
      <w:color w:val="244061" w:themeColor="accent1" w:themeShade="80"/>
    </w:rPr>
  </w:style>
  <w:style w:type="character" w:styleId="Ttulo6Car" w:customStyle="1">
    <w:name w:val="Título 6 Car"/>
    <w:basedOn w:val="Fuentedeprrafopredeter"/>
    <w:link w:val="Ttulo6"/>
    <w:uiPriority w:val="9"/>
    <w:semiHidden/>
    <w:qFormat/>
    <w:rPr>
      <w:rFonts w:asciiTheme="majorHAnsi" w:hAnsiTheme="majorHAnsi" w:eastAsiaTheme="majorEastAsia" w:cstheme="majorBidi"/>
      <w:i/>
      <w:iCs/>
      <w:color w:val="244061" w:themeColor="accent1" w:themeShade="80"/>
    </w:rPr>
  </w:style>
  <w:style w:type="character" w:styleId="Ttulo7Car" w:customStyle="1">
    <w:name w:val="Título 7 Car"/>
    <w:basedOn w:val="Fuentedeprrafopredeter"/>
    <w:link w:val="Ttulo7"/>
    <w:uiPriority w:val="9"/>
    <w:semiHidden/>
    <w:qFormat/>
    <w:rPr>
      <w:rFonts w:asciiTheme="majorHAnsi" w:hAnsiTheme="majorHAnsi" w:eastAsiaTheme="majorEastAsia" w:cstheme="majorBidi"/>
      <w:i/>
      <w:iCs/>
      <w:color w:val="404040" w:themeColor="text1" w:themeTint="BF"/>
    </w:rPr>
  </w:style>
  <w:style w:type="character" w:styleId="Ttulo8Car" w:customStyle="1">
    <w:name w:val="Título 8 Car"/>
    <w:basedOn w:val="Fuentedeprrafopredeter"/>
    <w:link w:val="Ttulo8"/>
    <w:uiPriority w:val="9"/>
    <w:semiHidden/>
    <w:qFormat/>
    <w:rPr>
      <w:rFonts w:asciiTheme="majorHAnsi" w:hAnsiTheme="majorHAnsi" w:eastAsiaTheme="majorEastAsia" w:cstheme="majorBidi"/>
      <w:color w:val="4F81BD" w:themeColor="accent1"/>
      <w:sz w:val="20"/>
      <w:szCs w:val="20"/>
    </w:rPr>
  </w:style>
  <w:style w:type="character" w:styleId="Ttulo9Car" w:customStyle="1">
    <w:name w:val="Título 9 Car"/>
    <w:basedOn w:val="Fuentedeprrafopredeter"/>
    <w:link w:val="Ttulo9"/>
    <w:uiPriority w:val="9"/>
    <w:semiHidden/>
    <w:qFormat/>
    <w:rPr>
      <w:rFonts w:asciiTheme="majorHAnsi" w:hAnsiTheme="majorHAnsi" w:eastAsiaTheme="majorEastAsia" w:cstheme="majorBidi"/>
      <w:i/>
      <w:iCs/>
      <w:color w:val="404040" w:themeColor="text1" w:themeTint="BF"/>
      <w:sz w:val="20"/>
      <w:szCs w:val="20"/>
    </w:rPr>
  </w:style>
  <w:style w:type="paragraph" w:styleId="Citadestacada">
    <w:name w:val="Intense Quote"/>
    <w:basedOn w:val="Normal"/>
    <w:next w:val="Normal"/>
    <w:link w:val="CitadestacadaCar"/>
    <w:uiPriority w:val="30"/>
    <w:qFormat/>
    <w:pPr>
      <w:pBdr>
        <w:bottom w:val="single" w:color="4F81BD" w:themeColor="accent1" w:sz="4" w:space="4"/>
      </w:pBdr>
      <w:spacing w:before="200" w:after="280"/>
      <w:ind w:left="936" w:right="936"/>
    </w:pPr>
    <w:rPr>
      <w:b/>
      <w:bCs/>
      <w:i/>
      <w:iCs/>
      <w:color w:val="4F81BD" w:themeColor="accent1"/>
    </w:rPr>
  </w:style>
  <w:style w:type="character" w:styleId="CitadestacadaCar" w:customStyle="1">
    <w:name w:val="Cita destacada Car"/>
    <w:basedOn w:val="Fuentedeprrafopredeter"/>
    <w:link w:val="Citadestacada"/>
    <w:uiPriority w:val="30"/>
    <w:qFormat/>
    <w:rPr>
      <w:b/>
      <w:bCs/>
      <w:i/>
      <w:iCs/>
      <w:color w:val="4F81BD" w:themeColor="accent1"/>
    </w:rPr>
  </w:style>
  <w:style w:type="character" w:styleId="nfasissutil1" w:customStyle="1">
    <w:name w:val="Énfasis sutil1"/>
    <w:basedOn w:val="Fuentedeprrafopredeter"/>
    <w:uiPriority w:val="19"/>
    <w:qFormat/>
    <w:rPr>
      <w:i/>
      <w:iCs/>
      <w:color w:val="7F7F7F" w:themeColor="text1" w:themeTint="80"/>
    </w:rPr>
  </w:style>
  <w:style w:type="character" w:styleId="nfasisintenso1" w:customStyle="1">
    <w:name w:val="Énfasis intenso1"/>
    <w:basedOn w:val="Fuentedeprrafopredeter"/>
    <w:uiPriority w:val="21"/>
    <w:qFormat/>
    <w:rPr>
      <w:b/>
      <w:bCs/>
      <w:i/>
      <w:iCs/>
      <w:color w:val="4F81BD" w:themeColor="accent1"/>
    </w:rPr>
  </w:style>
  <w:style w:type="character" w:styleId="Referenciasutil1" w:customStyle="1">
    <w:name w:val="Referencia sutil1"/>
    <w:basedOn w:val="Fuentedeprrafopredeter"/>
    <w:uiPriority w:val="31"/>
    <w:qFormat/>
    <w:rPr>
      <w:smallCaps/>
      <w:color w:val="C0504D" w:themeColor="accent2"/>
      <w:u w:val="single"/>
    </w:rPr>
  </w:style>
  <w:style w:type="character" w:styleId="Referenciaintensa1" w:customStyle="1">
    <w:name w:val="Referencia intensa1"/>
    <w:basedOn w:val="Fuentedeprrafopredeter"/>
    <w:uiPriority w:val="32"/>
    <w:qFormat/>
    <w:rPr>
      <w:b/>
      <w:bCs/>
      <w:smallCaps/>
      <w:color w:val="C0504D" w:themeColor="accent2"/>
      <w:spacing w:val="5"/>
      <w:u w:val="single"/>
    </w:rPr>
  </w:style>
  <w:style w:type="character" w:styleId="Ttulodellibro1" w:customStyle="1">
    <w:name w:val="Título del libro1"/>
    <w:basedOn w:val="Fuentedeprrafopredeter"/>
    <w:uiPriority w:val="33"/>
    <w:qFormat/>
    <w:rPr>
      <w:b/>
      <w:bCs/>
      <w:smallCaps/>
      <w:spacing w:val="5"/>
    </w:rPr>
  </w:style>
  <w:style w:type="paragraph" w:styleId="TtuloTDC1" w:customStyle="1">
    <w:name w:val="Título TDC1"/>
    <w:basedOn w:val="Ttulo1"/>
    <w:next w:val="Normal"/>
    <w:uiPriority w:val="39"/>
    <w:semiHidden/>
    <w:unhideWhenUsed/>
    <w:qFormat/>
    <w:pPr>
      <w:outlineLvl w:val="9"/>
    </w:pPr>
  </w:style>
  <w:style w:type="table" w:styleId="Sombreadoclaro">
    <w:name w:val="Light Shading"/>
    <w:basedOn w:val="Tablanormal"/>
    <w:uiPriority w:val="60"/>
    <w:qFormat/>
    <w:rPr>
      <w:color w:val="000000" w:themeColor="text1" w:themeShade="BF"/>
    </w:rPr>
    <w:tblPr>
      <w:tblBorders>
        <w:top w:val="single" w:color="000000" w:themeColor="text1" w:sz="8" w:space="0"/>
        <w:bottom w:val="single" w:color="000000" w:themeColor="text1" w:sz="8" w:space="0"/>
      </w:tblBorders>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ombreadoclaro-nfasis1">
    <w:name w:val="Light Shading Accent 1"/>
    <w:basedOn w:val="Tablanormal"/>
    <w:uiPriority w:val="60"/>
    <w:qFormat/>
    <w:rPr>
      <w:color w:val="365F91" w:themeColor="accent1" w:themeShade="BF"/>
    </w:rPr>
    <w:tblPr>
      <w:tblBorders>
        <w:top w:val="single" w:color="4F81BD" w:themeColor="accent1" w:sz="8" w:space="0"/>
        <w:bottom w:val="single" w:color="4F81BD" w:themeColor="accent1" w:sz="8" w:space="0"/>
      </w:tblBorders>
    </w:tbl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2">
    <w:name w:val="Light Shading Accent 2"/>
    <w:basedOn w:val="Tablanormal"/>
    <w:uiPriority w:val="60"/>
    <w:qFormat/>
    <w:rPr>
      <w:color w:val="943634" w:themeColor="accent2" w:themeShade="BF"/>
    </w:rPr>
    <w:tblPr>
      <w:tblBorders>
        <w:top w:val="single" w:color="C0504D" w:themeColor="accent2" w:sz="8" w:space="0"/>
        <w:bottom w:val="single" w:color="C0504D" w:themeColor="accent2" w:sz="8" w:space="0"/>
      </w:tblBorders>
    </w:tblPr>
    <w:tblStylePr w:type="fir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la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qFormat/>
    <w:rPr>
      <w:color w:val="76923C" w:themeColor="accent3" w:themeShade="BF"/>
    </w:rPr>
    <w:tblPr>
      <w:tblBorders>
        <w:top w:val="single" w:color="9BBB59" w:themeColor="accent3" w:sz="8" w:space="0"/>
        <w:bottom w:val="single" w:color="9BBB59" w:themeColor="accent3" w:sz="8" w:space="0"/>
      </w:tblBorders>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doclaro-nfasis4">
    <w:name w:val="Light Shading Accent 4"/>
    <w:basedOn w:val="Tablanormal"/>
    <w:uiPriority w:val="60"/>
    <w:qFormat/>
    <w:rPr>
      <w:color w:val="5F497A" w:themeColor="accent4" w:themeShade="BF"/>
    </w:rPr>
    <w:tblPr>
      <w:tblBorders>
        <w:top w:val="single" w:color="8064A2" w:themeColor="accent4" w:sz="8" w:space="0"/>
        <w:bottom w:val="single" w:color="8064A2" w:themeColor="accent4" w:sz="8" w:space="0"/>
      </w:tblBorders>
    </w:tblPr>
    <w:tblStylePr w:type="fir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la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ombreadoclaro-nfasis5">
    <w:name w:val="Light Shading Accent 5"/>
    <w:basedOn w:val="Tablanormal"/>
    <w:uiPriority w:val="60"/>
    <w:qFormat/>
    <w:rPr>
      <w:color w:val="31849B" w:themeColor="accent5" w:themeShade="BF"/>
    </w:rPr>
    <w:tblPr>
      <w:tblBorders>
        <w:top w:val="single" w:color="4BACC6" w:themeColor="accent5" w:sz="8" w:space="0"/>
        <w:bottom w:val="single" w:color="4BACC6" w:themeColor="accent5" w:sz="8" w:space="0"/>
      </w:tblBorders>
    </w:tblPr>
    <w:tblStylePr w:type="fir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la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doclaro-nfasis6">
    <w:name w:val="Light Shading Accent 6"/>
    <w:basedOn w:val="Tablanormal"/>
    <w:uiPriority w:val="60"/>
    <w:qFormat/>
    <w:rPr>
      <w:color w:val="E36C0A" w:themeColor="accent6" w:themeShade="BF"/>
    </w:rPr>
    <w:tblPr>
      <w:tblBorders>
        <w:top w:val="single" w:color="F79646" w:themeColor="accent6" w:sz="8" w:space="0"/>
        <w:bottom w:val="single" w:color="F79646" w:themeColor="accent6" w:sz="8" w:space="0"/>
      </w:tblBorders>
    </w:tblPr>
    <w:tblStylePr w:type="fir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la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staclara">
    <w:name w:val="Light List"/>
    <w:basedOn w:val="Tablanormal"/>
    <w:uiPriority w:val="61"/>
    <w:qFormat/>
    <w:tblPr>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Col">
      <w:rPr>
        <w:b/>
        <w:bCs/>
      </w:r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table" w:styleId="Listaclara-nfasis1">
    <w:name w:val="Light List Accent 1"/>
    <w:basedOn w:val="Tablanormal"/>
    <w:uiPriority w:val="61"/>
    <w:qFormat/>
    <w:tblPr>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tcBorders>
      </w:tcPr>
    </w:tblStylePr>
    <w:tblStylePr w:type="firstCol">
      <w:rPr>
        <w:b/>
        <w:bCs/>
      </w:rPr>
    </w:tblStylePr>
    <w:tblStylePr w:type="lastCol">
      <w:rPr>
        <w:b/>
        <w:bCs/>
      </w:r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style>
  <w:style w:type="table" w:styleId="Listaclara-nfasis2">
    <w:name w:val="Light List Accent 2"/>
    <w:basedOn w:val="Tablanormal"/>
    <w:uiPriority w:val="61"/>
    <w:qFormat/>
    <w:tblPr>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tcBorders>
      </w:tcPr>
    </w:tblStylePr>
    <w:tblStylePr w:type="firstCol">
      <w:rPr>
        <w:b/>
        <w:bCs/>
      </w:rPr>
    </w:tblStylePr>
    <w:tblStylePr w:type="lastCol">
      <w:rPr>
        <w:b/>
        <w:bCs/>
      </w:r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style>
  <w:style w:type="table" w:styleId="Listaclara-nfasis3">
    <w:name w:val="Light List Accent 3"/>
    <w:basedOn w:val="Tablanormal"/>
    <w:uiPriority w:val="61"/>
    <w:qFormat/>
    <w:tblPr>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firstCol">
      <w:rPr>
        <w:b/>
        <w:bCs/>
      </w:rPr>
    </w:tblStylePr>
    <w:tblStylePr w:type="lastCol">
      <w:rPr>
        <w:b/>
        <w:bCs/>
      </w:r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style>
  <w:style w:type="table" w:styleId="Listaclara-nfasis4">
    <w:name w:val="Light List Accent 4"/>
    <w:basedOn w:val="Tablanormal"/>
    <w:uiPriority w:val="61"/>
    <w:qFormat/>
    <w:tblPr>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tcBorders>
      </w:tcPr>
    </w:tblStylePr>
    <w:tblStylePr w:type="firstCol">
      <w:rPr>
        <w:b/>
        <w:bCs/>
      </w:rPr>
    </w:tblStylePr>
    <w:tblStylePr w:type="lastCol">
      <w:rPr>
        <w:b/>
        <w:bCs/>
      </w:r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style>
  <w:style w:type="table" w:styleId="Listaclara-nfasis5">
    <w:name w:val="Light List Accent 5"/>
    <w:basedOn w:val="Tablanormal"/>
    <w:uiPriority w:val="61"/>
    <w:qFormat/>
    <w:tblPr>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firstCol">
      <w:rPr>
        <w:b/>
        <w:bCs/>
      </w:rPr>
    </w:tblStylePr>
    <w:tblStylePr w:type="lastCol">
      <w:rPr>
        <w:b/>
        <w:bCs/>
      </w:r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style>
  <w:style w:type="table" w:styleId="Listaclara-nfasis6">
    <w:name w:val="Light List Accent 6"/>
    <w:basedOn w:val="Tablanormal"/>
    <w:uiPriority w:val="61"/>
    <w:qFormat/>
    <w:tblPr>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firstCol">
      <w:rPr>
        <w:b/>
        <w:bCs/>
      </w:rPr>
    </w:tblStylePr>
    <w:tblStylePr w:type="lastCol">
      <w:rPr>
        <w:b/>
        <w:bCs/>
      </w:r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style>
  <w:style w:type="table" w:styleId="Cuadrculaclara">
    <w:name w:val="Light Grid"/>
    <w:basedOn w:val="Tablanormal"/>
    <w:uiPriority w:val="62"/>
    <w:qFormat/>
    <w:tblP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color="auto"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color="auto"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C0C0C0"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auto" w:sz="8" w:space="0"/>
        </w:tcBorders>
        <w:shd w:val="clear" w:color="auto" w:fill="C0C0C0"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auto" w:sz="8" w:space="0"/>
        </w:tcBorders>
      </w:tcPr>
    </w:tblStylePr>
  </w:style>
  <w:style w:type="table" w:styleId="Cuadrculaclara-nfasis1">
    <w:name w:val="Light Grid Accent 1"/>
    <w:basedOn w:val="Tablanormal"/>
    <w:uiPriority w:val="62"/>
    <w:qFormat/>
    <w:tblPr>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color="auto"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color="auto"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auto" w:sz="8" w:space="0"/>
        </w:tcBorders>
        <w:shd w:val="clear" w:color="auto" w:fill="D3DFEE" w:themeFill="accent1" w:themeFillTint="3F"/>
      </w:tcPr>
    </w:tblStylePr>
    <w:tblStylePr w:type="band2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auto" w:sz="8" w:space="0"/>
        </w:tcBorders>
      </w:tcPr>
    </w:tblStylePr>
  </w:style>
  <w:style w:type="table" w:styleId="Cuadrculaclara-nfasis2">
    <w:name w:val="Light Grid Accent 2"/>
    <w:basedOn w:val="Tablanormal"/>
    <w:uiPriority w:val="62"/>
    <w:qFormat/>
    <w:tblPr>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color="auto"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color="auto"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2" w:themeFill="accent2" w:themeFillTint="3F"/>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auto" w:sz="8" w:space="0"/>
        </w:tcBorders>
        <w:shd w:val="clear" w:color="auto" w:fill="EFD3D2" w:themeFill="accent2" w:themeFillTint="3F"/>
      </w:tcPr>
    </w:tblStylePr>
    <w:tblStylePr w:type="band2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auto" w:sz="8" w:space="0"/>
        </w:tcBorders>
      </w:tcPr>
    </w:tblStylePr>
  </w:style>
  <w:style w:type="table" w:styleId="Cuadrculaclara-nfasis3">
    <w:name w:val="Light Grid Accent 3"/>
    <w:basedOn w:val="Tablanormal"/>
    <w:uiPriority w:val="62"/>
    <w:qFormat/>
    <w:tblPr>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color="auto"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color="auto"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auto" w:sz="8" w:space="0"/>
        </w:tcBorders>
        <w:shd w:val="clear" w:color="auto" w:fill="E6EED5" w:themeFill="accent3" w:themeFillTint="3F"/>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auto" w:sz="8" w:space="0"/>
        </w:tcBorders>
      </w:tcPr>
    </w:tblStylePr>
  </w:style>
  <w:style w:type="table" w:styleId="Cuadrculaclara-nfasis4">
    <w:name w:val="Light Grid Accent 4"/>
    <w:basedOn w:val="Tablanormal"/>
    <w:uiPriority w:val="62"/>
    <w:qFormat/>
    <w:tblPr>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18" w:space="0"/>
          <w:right w:val="single" w:color="8064A2" w:themeColor="accent4" w:sz="8" w:space="0"/>
          <w:insideH w:val="nil"/>
          <w:insideV w:val="single" w:color="auto"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insideH w:val="nil"/>
          <w:insideV w:val="single" w:color="auto"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shd w:val="clear" w:color="auto" w:fill="DFD8E8" w:themeFill="accent4" w:themeFillTint="3F"/>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auto" w:sz="8" w:space="0"/>
        </w:tcBorders>
        <w:shd w:val="clear" w:color="auto" w:fill="DFD8E8" w:themeFill="accent4" w:themeFillTint="3F"/>
      </w:tcPr>
    </w:tblStylePr>
    <w:tblStylePr w:type="band2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auto" w:sz="8" w:space="0"/>
        </w:tcBorders>
      </w:tcPr>
    </w:tblStylePr>
  </w:style>
  <w:style w:type="table" w:styleId="Cuadrculaclara-nfasis5">
    <w:name w:val="Light Grid Accent 5"/>
    <w:basedOn w:val="Tablanormal"/>
    <w:uiPriority w:val="62"/>
    <w:qFormat/>
    <w:tblPr>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color="auto"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color="auto"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1" w:themeFill="accent5" w:themeFillTint="3F"/>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auto" w:sz="8" w:space="0"/>
        </w:tcBorders>
        <w:shd w:val="clear" w:color="auto" w:fill="D2EAF1" w:themeFill="accent5" w:themeFillTint="3F"/>
      </w:tcPr>
    </w:tblStylePr>
    <w:tblStylePr w:type="band2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auto" w:sz="8" w:space="0"/>
        </w:tcBorders>
      </w:tcPr>
    </w:tblStylePr>
  </w:style>
  <w:style w:type="table" w:styleId="Cuadrculaclara-nfasis6">
    <w:name w:val="Light Grid Accent 6"/>
    <w:basedOn w:val="Tablanormal"/>
    <w:uiPriority w:val="62"/>
    <w:qFormat/>
    <w:tblPr>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color="auto"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color="auto"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4D0" w:themeFill="accent6" w:themeFillTint="3F"/>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auto" w:sz="8" w:space="0"/>
        </w:tcBorders>
        <w:shd w:val="clear" w:color="auto" w:fill="FDE4D0" w:themeFill="accent6" w:themeFillTint="3F"/>
      </w:tcPr>
    </w:tblStylePr>
    <w:tblStylePr w:type="band2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auto" w:sz="8" w:space="0"/>
        </w:tcBorders>
      </w:tcPr>
    </w:tblStylePr>
  </w:style>
  <w:style w:type="table" w:styleId="Sombreadomedio1">
    <w:name w:val="Medium Shading 1"/>
    <w:basedOn w:val="Tablanormal"/>
    <w:uiPriority w:val="63"/>
    <w:qFormat/>
    <w:tblPr>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tblBorders>
    </w:tblPr>
    <w:tblStylePr w:type="firstRow">
      <w:pPr>
        <w:spacing w:before="0" w:after="0" w:line="240" w:lineRule="auto"/>
      </w:pPr>
      <w:rPr>
        <w:b/>
        <w:bCs/>
        <w:color w:val="FFFFFF" w:themeColor="background1"/>
      </w:rPr>
      <w:tblPr/>
      <w:tcPr>
        <w:tc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nil"/>
          <w:insideV w:val="nil"/>
        </w:tcBorders>
        <w:shd w:val="clear" w:color="auto" w:fill="000000" w:themeFill="text1"/>
      </w:tcPr>
    </w:tblStylePr>
    <w:tblStylePr w:type="lastRow">
      <w:pPr>
        <w:spacing w:before="0" w:after="0" w:line="240" w:lineRule="auto"/>
      </w:pPr>
      <w:rPr>
        <w:b/>
        <w:bCs/>
      </w:rPr>
      <w:tblPr/>
      <w:tcPr>
        <w:tcBorders>
          <w:top w:val="double" w:color="404040" w:themeColor="text1" w:themeTint="BF" w:sz="6" w:space="0"/>
          <w:left w:val="single" w:color="404040" w:themeColor="text1" w:themeTint="BF" w:sz="8" w:space="0"/>
          <w:bottom w:val="single" w:color="404040" w:themeColor="text1" w:themeTint="BF" w:sz="8" w:space="0"/>
          <w:right w:val="single" w:color="404040" w:themeColor="text1" w:themeTint="BF" w:sz="8" w:space="0"/>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ombreadomedio1-nfasis1">
    <w:name w:val="Medium Shading 1 Accent 1"/>
    <w:basedOn w:val="Tablanormal"/>
    <w:uiPriority w:val="63"/>
    <w:qFormat/>
    <w:tblPr>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Pr>
    <w:tblStylePr w:type="firstRow">
      <w:pPr>
        <w:spacing w:before="0" w:after="0" w:line="240" w:lineRule="auto"/>
      </w:pPr>
      <w:rPr>
        <w:b/>
        <w:bCs/>
        <w:color w:val="FFFFFF" w:themeColor="background1"/>
      </w:rPr>
      <w:tbl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tblStylePr w:type="lastRow">
      <w:pPr>
        <w:spacing w:before="0" w:after="0" w:line="240" w:lineRule="auto"/>
      </w:pPr>
      <w:rPr>
        <w:b/>
        <w:bCs/>
      </w:rPr>
      <w:tbl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ombreadomedio1-nfasis2">
    <w:name w:val="Medium Shading 1 Accent 2"/>
    <w:basedOn w:val="Tablanormal"/>
    <w:uiPriority w:val="63"/>
    <w:qFormat/>
    <w:tblPr>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tblBorders>
    </w:tblPr>
    <w:tblStylePr w:type="firstRow">
      <w:pPr>
        <w:spacing w:before="0" w:after="0" w:line="240" w:lineRule="auto"/>
      </w:pPr>
      <w:rPr>
        <w:b/>
        <w:bCs/>
        <w:color w:val="FFFFFF" w:themeColor="background1"/>
      </w:rPr>
      <w:tblPr/>
      <w:tcPr>
        <w:tc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shd w:val="clear" w:color="auto" w:fill="C0504D" w:themeFill="accent2"/>
      </w:tcPr>
    </w:tblStylePr>
    <w:tblStylePr w:type="lastRow">
      <w:pPr>
        <w:spacing w:before="0" w:after="0" w:line="240" w:lineRule="auto"/>
      </w:pPr>
      <w:rPr>
        <w:b/>
        <w:bCs/>
      </w:rPr>
      <w:tblPr/>
      <w:tcPr>
        <w:tcBorders>
          <w:top w:val="double" w:color="CF7B79" w:themeColor="accent2" w:themeTint="BF" w:sz="6"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ombreadomedio1-nfasis3">
    <w:name w:val="Medium Shading 1 Accent 3"/>
    <w:basedOn w:val="Tablanormal"/>
    <w:uiPriority w:val="63"/>
    <w:qFormat/>
    <w:tblPr>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tblBorders>
    </w:tblPr>
    <w:tblStylePr w:type="firstRow">
      <w:pPr>
        <w:spacing w:before="0" w:after="0" w:line="240" w:lineRule="auto"/>
      </w:pPr>
      <w:rPr>
        <w:b/>
        <w:bCs/>
        <w:color w:val="FFFFFF" w:themeColor="background1"/>
      </w:rPr>
      <w:tblPr/>
      <w:tcPr>
        <w:tc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shd w:val="clear" w:color="auto" w:fill="9BBB59" w:themeFill="accent3"/>
      </w:tcPr>
    </w:tblStylePr>
    <w:tblStylePr w:type="lastRow">
      <w:pPr>
        <w:spacing w:before="0" w:after="0" w:line="240" w:lineRule="auto"/>
      </w:pPr>
      <w:rPr>
        <w:b/>
        <w:bCs/>
      </w:rPr>
      <w:tblPr/>
      <w:tcPr>
        <w:tcBorders>
          <w:top w:val="double" w:color="B3CC82" w:themeColor="accent3" w:themeTint="BF" w:sz="6"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medio1-nfasis4">
    <w:name w:val="Medium Shading 1 Accent 4"/>
    <w:basedOn w:val="Tablanormal"/>
    <w:uiPriority w:val="63"/>
    <w:qFormat/>
    <w:tblPr>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tblBorders>
    </w:tblPr>
    <w:tblStylePr w:type="firstRow">
      <w:pPr>
        <w:spacing w:before="0" w:after="0" w:line="240" w:lineRule="auto"/>
      </w:pPr>
      <w:rPr>
        <w:b/>
        <w:bCs/>
        <w:color w:val="FFFFFF" w:themeColor="background1"/>
      </w:rPr>
      <w:tblPr/>
      <w:tcPr>
        <w:tc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shd w:val="clear" w:color="auto" w:fill="8064A2" w:themeFill="accent4"/>
      </w:tcPr>
    </w:tblStylePr>
    <w:tblStylePr w:type="lastRow">
      <w:pPr>
        <w:spacing w:before="0" w:after="0" w:line="240" w:lineRule="auto"/>
      </w:pPr>
      <w:rPr>
        <w:b/>
        <w:bCs/>
      </w:rPr>
      <w:tblPr/>
      <w:tcPr>
        <w:tcBorders>
          <w:top w:val="double" w:color="9F8AB9" w:themeColor="accent4" w:themeTint="BF" w:sz="6"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medio1-nfasis5">
    <w:name w:val="Medium Shading 1 Accent 5"/>
    <w:basedOn w:val="Tablanormal"/>
    <w:uiPriority w:val="63"/>
    <w:tblPr>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Pr>
    <w:tblStylePr w:type="firstRow">
      <w:pPr>
        <w:spacing w:before="0" w:after="0" w:line="240" w:lineRule="auto"/>
      </w:pPr>
      <w:rPr>
        <w:b/>
        <w:bCs/>
        <w:color w:val="FFFFFF" w:themeColor="background1"/>
      </w:rPr>
      <w:tblPr/>
      <w:tcPr>
        <w:tc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shd w:val="clear" w:color="auto" w:fill="4BACC6" w:themeFill="accent5"/>
      </w:tcPr>
    </w:tblStylePr>
    <w:tblStylePr w:type="lastRow">
      <w:pPr>
        <w:spacing w:before="0" w:after="0" w:line="240" w:lineRule="auto"/>
      </w:pPr>
      <w:rPr>
        <w:b/>
        <w:bCs/>
      </w:rPr>
      <w:tblPr/>
      <w:tcPr>
        <w:tcBorders>
          <w:top w:val="double" w:color="78C0D4" w:themeColor="accent5" w:themeTint="BF" w:sz="6"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ombreadomedio1-nfasis6">
    <w:name w:val="Medium Shading 1 Accent 6"/>
    <w:basedOn w:val="Tablanormal"/>
    <w:uiPriority w:val="63"/>
    <w:qFormat/>
    <w:tblPr>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Pr>
    <w:tblStylePr w:type="firstRow">
      <w:pPr>
        <w:spacing w:before="0" w:after="0" w:line="240" w:lineRule="auto"/>
      </w:pPr>
      <w:rPr>
        <w:b/>
        <w:bCs/>
        <w:color w:val="FFFFFF" w:themeColor="background1"/>
      </w:rPr>
      <w:tblPr/>
      <w:tcPr>
        <w:tc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shd w:val="clear" w:color="auto" w:fill="F79646" w:themeFill="accent6"/>
      </w:tcPr>
    </w:tblStylePr>
    <w:tblStylePr w:type="lastRow">
      <w:pPr>
        <w:spacing w:before="0" w:after="0" w:line="240" w:lineRule="auto"/>
      </w:pPr>
      <w:rPr>
        <w:b/>
        <w:bCs/>
      </w:rPr>
      <w:tblPr/>
      <w:tcPr>
        <w:tcBorders>
          <w:top w:val="double" w:color="F9B074" w:themeColor="accent6" w:themeTint="BF" w:sz="6"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ombreadomedio2">
    <w:name w:val="Medium Shading 2"/>
    <w:basedOn w:val="Tablanormal"/>
    <w:uiPriority w:val="64"/>
    <w:tblPr>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Sombreadomedio2-nfasis1">
    <w:name w:val="Medium Shading 2 Accent 1"/>
    <w:basedOn w:val="Tablanormal"/>
    <w:uiPriority w:val="64"/>
    <w:tblPr>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Sombreadomedio2-nfasis2">
    <w:name w:val="Medium Shading 2 Accent 2"/>
    <w:basedOn w:val="Tablanormal"/>
    <w:uiPriority w:val="64"/>
    <w:qFormat/>
    <w:tblPr>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Sombreadomedio2-nfasis3">
    <w:name w:val="Medium Shading 2 Accent 3"/>
    <w:basedOn w:val="Tablanormal"/>
    <w:uiPriority w:val="64"/>
    <w:tblPr>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Sombreadomedio2-nfasis4">
    <w:name w:val="Medium Shading 2 Accent 4"/>
    <w:basedOn w:val="Tablanormal"/>
    <w:uiPriority w:val="64"/>
    <w:qFormat/>
    <w:tblPr>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Sombreadomedio2-nfasis5">
    <w:name w:val="Medium Shading 2 Accent 5"/>
    <w:basedOn w:val="Tablanormal"/>
    <w:uiPriority w:val="64"/>
    <w:tblPr>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Sombreadomedio2-nfasis6">
    <w:name w:val="Medium Shading 2 Accent 6"/>
    <w:basedOn w:val="Tablanormal"/>
    <w:uiPriority w:val="64"/>
    <w:tblPr>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Listamedia1">
    <w:name w:val="Medium List 1"/>
    <w:basedOn w:val="Tablanormal"/>
    <w:uiPriority w:val="65"/>
    <w:qFormat/>
    <w:rPr>
      <w:color w:val="000000" w:themeColor="text1"/>
    </w:rPr>
    <w:tblPr>
      <w:tblBorders>
        <w:top w:val="single" w:color="000000" w:themeColor="text1" w:sz="8" w:space="0"/>
        <w:bottom w:val="single" w:color="000000" w:themeColor="text1" w:sz="8" w:space="0"/>
      </w:tblBorders>
    </w:tblPr>
    <w:tblStylePr w:type="firstRow">
      <w:rPr>
        <w:rFonts w:asciiTheme="majorHAnsi" w:hAnsiTheme="majorHAnsi" w:eastAsiaTheme="majorEastAsia" w:cstheme="majorBidi"/>
      </w:rPr>
      <w:tblPr/>
      <w:tcPr>
        <w:tcBorders>
          <w:top w:val="nil"/>
          <w:bottom w:val="single" w:color="000000" w:themeColor="text1" w:sz="8" w:space="0"/>
        </w:tcBorders>
      </w:tcPr>
    </w:tblStylePr>
    <w:tblStylePr w:type="lastRow">
      <w:rPr>
        <w:b/>
        <w:bCs/>
        <w:color w:val="1F497D" w:themeColor="text2"/>
      </w:rPr>
      <w:tblPr/>
      <w:tcPr>
        <w:tcBorders>
          <w:top w:val="single" w:color="000000" w:themeColor="text1" w:sz="8" w:space="0"/>
          <w:bottom w:val="single" w:color="000000" w:themeColor="text1" w:sz="8" w:space="0"/>
        </w:tcBorders>
      </w:tcPr>
    </w:tblStylePr>
    <w:tblStylePr w:type="firstCol">
      <w:rPr>
        <w:b/>
        <w:bCs/>
      </w:rPr>
    </w:tblStylePr>
    <w:tblStylePr w:type="lastCol">
      <w:rPr>
        <w:b/>
        <w:bCs/>
      </w:rPr>
      <w:tblPr/>
      <w:tcPr>
        <w:tcBorders>
          <w:top w:val="single" w:color="000000" w:themeColor="text1" w:sz="8" w:space="0"/>
          <w:bottom w:val="single" w:color="000000" w:themeColor="text1" w:sz="8" w:space="0"/>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edia1-nfasis1">
    <w:name w:val="Medium List 1 Accent 1"/>
    <w:basedOn w:val="Tablanormal"/>
    <w:uiPriority w:val="65"/>
    <w:qFormat/>
    <w:rPr>
      <w:color w:val="000000" w:themeColor="text1"/>
    </w:rPr>
    <w:tblPr>
      <w:tblBorders>
        <w:top w:val="single" w:color="4F81BD" w:themeColor="accent1" w:sz="8" w:space="0"/>
        <w:bottom w:val="single" w:color="4F81BD" w:themeColor="accent1" w:sz="8" w:space="0"/>
      </w:tblBorders>
    </w:tblPr>
    <w:tblStylePr w:type="firstRow">
      <w:rPr>
        <w:rFonts w:asciiTheme="majorHAnsi" w:hAnsiTheme="majorHAnsi" w:eastAsiaTheme="majorEastAsia" w:cstheme="majorBidi"/>
      </w:rPr>
      <w:tblPr/>
      <w:tcPr>
        <w:tcBorders>
          <w:top w:val="nil"/>
          <w:bottom w:val="single" w:color="4F81BD" w:themeColor="accent1" w:sz="8" w:space="0"/>
        </w:tcBorders>
      </w:tcPr>
    </w:tblStylePr>
    <w:tblStylePr w:type="lastRow">
      <w:rPr>
        <w:b/>
        <w:bCs/>
        <w:color w:val="1F497D" w:themeColor="text2"/>
      </w:rPr>
      <w:tblPr/>
      <w:tcPr>
        <w:tcBorders>
          <w:top w:val="single" w:color="4F81BD" w:themeColor="accent1" w:sz="8" w:space="0"/>
          <w:bottom w:val="single" w:color="4F81BD" w:themeColor="accent1" w:sz="8" w:space="0"/>
        </w:tcBorders>
      </w:tcPr>
    </w:tblStylePr>
    <w:tblStylePr w:type="firstCol">
      <w:rPr>
        <w:b/>
        <w:bCs/>
      </w:rPr>
    </w:tblStylePr>
    <w:tblStylePr w:type="lastCol">
      <w:rPr>
        <w:b/>
        <w:bCs/>
      </w:rPr>
      <w:tblPr/>
      <w:tcPr>
        <w:tcBorders>
          <w:top w:val="single" w:color="4F81BD" w:themeColor="accent1" w:sz="8" w:space="0"/>
          <w:bottom w:val="single" w:color="4F81BD" w:themeColor="accent1" w:sz="8" w:space="0"/>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Listamedia1-nfasis2">
    <w:name w:val="Medium List 1 Accent 2"/>
    <w:basedOn w:val="Tablanormal"/>
    <w:uiPriority w:val="65"/>
    <w:qFormat/>
    <w:rPr>
      <w:color w:val="000000" w:themeColor="text1"/>
    </w:rPr>
    <w:tblPr>
      <w:tblBorders>
        <w:top w:val="single" w:color="C0504D" w:themeColor="accent2" w:sz="8" w:space="0"/>
        <w:bottom w:val="single" w:color="C0504D" w:themeColor="accent2" w:sz="8" w:space="0"/>
      </w:tblBorders>
    </w:tblPr>
    <w:tblStylePr w:type="firstRow">
      <w:rPr>
        <w:rFonts w:asciiTheme="majorHAnsi" w:hAnsiTheme="majorHAnsi" w:eastAsiaTheme="majorEastAsia" w:cstheme="majorBidi"/>
      </w:rPr>
      <w:tblPr/>
      <w:tcPr>
        <w:tcBorders>
          <w:top w:val="nil"/>
          <w:bottom w:val="single" w:color="C0504D" w:themeColor="accent2" w:sz="8" w:space="0"/>
        </w:tcBorders>
      </w:tcPr>
    </w:tblStylePr>
    <w:tblStylePr w:type="lastRow">
      <w:rPr>
        <w:b/>
        <w:bCs/>
        <w:color w:val="1F497D" w:themeColor="text2"/>
      </w:rPr>
      <w:tblPr/>
      <w:tcPr>
        <w:tcBorders>
          <w:top w:val="single" w:color="C0504D" w:themeColor="accent2" w:sz="8" w:space="0"/>
          <w:bottom w:val="single" w:color="C0504D" w:themeColor="accent2" w:sz="8" w:space="0"/>
        </w:tcBorders>
      </w:tcPr>
    </w:tblStylePr>
    <w:tblStylePr w:type="firstCol">
      <w:rPr>
        <w:b/>
        <w:bCs/>
      </w:rPr>
    </w:tblStylePr>
    <w:tblStylePr w:type="lastCol">
      <w:rPr>
        <w:b/>
        <w:bCs/>
      </w:rPr>
      <w:tblPr/>
      <w:tcPr>
        <w:tcBorders>
          <w:top w:val="single" w:color="C0504D" w:themeColor="accent2" w:sz="8" w:space="0"/>
          <w:bottom w:val="single" w:color="C0504D" w:themeColor="accent2" w:sz="8" w:space="0"/>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1-nfasis3">
    <w:name w:val="Medium List 1 Accent 3"/>
    <w:basedOn w:val="Tablanormal"/>
    <w:uiPriority w:val="65"/>
    <w:rPr>
      <w:color w:val="000000" w:themeColor="text1"/>
    </w:rPr>
    <w:tblPr>
      <w:tblBorders>
        <w:top w:val="single" w:color="9BBB59" w:themeColor="accent3" w:sz="8" w:space="0"/>
        <w:bottom w:val="single" w:color="9BBB59" w:themeColor="accent3" w:sz="8" w:space="0"/>
      </w:tblBorders>
    </w:tblPr>
    <w:tblStylePr w:type="firstRow">
      <w:rPr>
        <w:rFonts w:asciiTheme="majorHAnsi" w:hAnsiTheme="majorHAnsi" w:eastAsiaTheme="majorEastAsia" w:cstheme="majorBidi"/>
      </w:rPr>
      <w:tblPr/>
      <w:tcPr>
        <w:tcBorders>
          <w:top w:val="nil"/>
          <w:bottom w:val="single" w:color="9BBB59" w:themeColor="accent3" w:sz="8" w:space="0"/>
        </w:tcBorders>
      </w:tcPr>
    </w:tblStylePr>
    <w:tblStylePr w:type="lastRow">
      <w:rPr>
        <w:b/>
        <w:bCs/>
        <w:color w:val="1F497D" w:themeColor="text2"/>
      </w:rPr>
      <w:tblPr/>
      <w:tcPr>
        <w:tcBorders>
          <w:top w:val="single" w:color="9BBB59" w:themeColor="accent3" w:sz="8" w:space="0"/>
          <w:bottom w:val="single" w:color="9BBB59" w:themeColor="accent3" w:sz="8" w:space="0"/>
        </w:tcBorders>
      </w:tcPr>
    </w:tblStylePr>
    <w:tblStylePr w:type="firstCol">
      <w:rPr>
        <w:b/>
        <w:bCs/>
      </w:rPr>
    </w:tblStylePr>
    <w:tblStylePr w:type="lastCol">
      <w:rPr>
        <w:b/>
        <w:bCs/>
      </w:rPr>
      <w:tblPr/>
      <w:tcPr>
        <w:tcBorders>
          <w:top w:val="single" w:color="9BBB59" w:themeColor="accent3" w:sz="8" w:space="0"/>
          <w:bottom w:val="single" w:color="9BBB59" w:themeColor="accent3" w:sz="8" w:space="0"/>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Listamedia1-nfasis4">
    <w:name w:val="Medium List 1 Accent 4"/>
    <w:basedOn w:val="Tablanormal"/>
    <w:uiPriority w:val="65"/>
    <w:qFormat/>
    <w:rPr>
      <w:color w:val="000000" w:themeColor="text1"/>
    </w:rPr>
    <w:tblPr>
      <w:tblBorders>
        <w:top w:val="single" w:color="8064A2" w:themeColor="accent4" w:sz="8" w:space="0"/>
        <w:bottom w:val="single" w:color="8064A2" w:themeColor="accent4" w:sz="8" w:space="0"/>
      </w:tblBorders>
    </w:tblPr>
    <w:tblStylePr w:type="firstRow">
      <w:rPr>
        <w:rFonts w:asciiTheme="majorHAnsi" w:hAnsiTheme="majorHAnsi" w:eastAsiaTheme="majorEastAsia" w:cstheme="majorBidi"/>
      </w:rPr>
      <w:tblPr/>
      <w:tcPr>
        <w:tcBorders>
          <w:top w:val="nil"/>
          <w:bottom w:val="single" w:color="8064A2" w:themeColor="accent4" w:sz="8" w:space="0"/>
        </w:tcBorders>
      </w:tcPr>
    </w:tblStylePr>
    <w:tblStylePr w:type="lastRow">
      <w:rPr>
        <w:b/>
        <w:bCs/>
        <w:color w:val="1F497D" w:themeColor="text2"/>
      </w:rPr>
      <w:tblPr/>
      <w:tcPr>
        <w:tcBorders>
          <w:top w:val="single" w:color="8064A2" w:themeColor="accent4" w:sz="8" w:space="0"/>
          <w:bottom w:val="single" w:color="8064A2" w:themeColor="accent4" w:sz="8" w:space="0"/>
        </w:tcBorders>
      </w:tcPr>
    </w:tblStylePr>
    <w:tblStylePr w:type="firstCol">
      <w:rPr>
        <w:b/>
        <w:bCs/>
      </w:rPr>
    </w:tblStylePr>
    <w:tblStylePr w:type="lastCol">
      <w:rPr>
        <w:b/>
        <w:bCs/>
      </w:rPr>
      <w:tblPr/>
      <w:tcPr>
        <w:tcBorders>
          <w:top w:val="single" w:color="8064A2" w:themeColor="accent4" w:sz="8" w:space="0"/>
          <w:bottom w:val="single" w:color="8064A2" w:themeColor="accent4" w:sz="8" w:space="0"/>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edia1-nfasis5">
    <w:name w:val="Medium List 1 Accent 5"/>
    <w:basedOn w:val="Tablanormal"/>
    <w:uiPriority w:val="65"/>
    <w:rPr>
      <w:color w:val="000000" w:themeColor="text1"/>
    </w:rPr>
    <w:tblPr>
      <w:tblBorders>
        <w:top w:val="single" w:color="4BACC6" w:themeColor="accent5" w:sz="8" w:space="0"/>
        <w:bottom w:val="single" w:color="4BACC6" w:themeColor="accent5" w:sz="8" w:space="0"/>
      </w:tblBorders>
    </w:tblPr>
    <w:tblStylePr w:type="firstRow">
      <w:rPr>
        <w:rFonts w:asciiTheme="majorHAnsi" w:hAnsiTheme="majorHAnsi" w:eastAsiaTheme="majorEastAsia" w:cstheme="majorBidi"/>
      </w:rPr>
      <w:tblPr/>
      <w:tcPr>
        <w:tcBorders>
          <w:top w:val="nil"/>
          <w:bottom w:val="single" w:color="4BACC6" w:themeColor="accent5" w:sz="8" w:space="0"/>
        </w:tcBorders>
      </w:tcPr>
    </w:tblStylePr>
    <w:tblStylePr w:type="lastRow">
      <w:rPr>
        <w:b/>
        <w:bCs/>
        <w:color w:val="1F497D" w:themeColor="text2"/>
      </w:rPr>
      <w:tblPr/>
      <w:tcPr>
        <w:tcBorders>
          <w:top w:val="single" w:color="4BACC6" w:themeColor="accent5" w:sz="8" w:space="0"/>
          <w:bottom w:val="single" w:color="4BACC6" w:themeColor="accent5" w:sz="8" w:space="0"/>
        </w:tcBorders>
      </w:tcPr>
    </w:tblStylePr>
    <w:tblStylePr w:type="firstCol">
      <w:rPr>
        <w:b/>
        <w:bCs/>
      </w:rPr>
    </w:tblStylePr>
    <w:tblStylePr w:type="lastCol">
      <w:rPr>
        <w:b/>
        <w:bCs/>
      </w:rPr>
      <w:tblPr/>
      <w:tcPr>
        <w:tcBorders>
          <w:top w:val="single" w:color="4BACC6" w:themeColor="accent5" w:sz="8" w:space="0"/>
          <w:bottom w:val="single" w:color="4BACC6" w:themeColor="accent5" w:sz="8" w:space="0"/>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edia1-nfasis6">
    <w:name w:val="Medium List 1 Accent 6"/>
    <w:basedOn w:val="Tablanormal"/>
    <w:uiPriority w:val="65"/>
    <w:qFormat/>
    <w:rPr>
      <w:color w:val="000000" w:themeColor="text1"/>
    </w:rPr>
    <w:tblPr>
      <w:tblBorders>
        <w:top w:val="single" w:color="F79646" w:themeColor="accent6" w:sz="8" w:space="0"/>
        <w:bottom w:val="single" w:color="F79646" w:themeColor="accent6" w:sz="8" w:space="0"/>
      </w:tblBorders>
    </w:tblPr>
    <w:tblStylePr w:type="firstRow">
      <w:rPr>
        <w:rFonts w:asciiTheme="majorHAnsi" w:hAnsiTheme="majorHAnsi" w:eastAsiaTheme="majorEastAsia" w:cstheme="majorBidi"/>
      </w:rPr>
      <w:tblPr/>
      <w:tcPr>
        <w:tcBorders>
          <w:top w:val="nil"/>
          <w:bottom w:val="single" w:color="F79646" w:themeColor="accent6" w:sz="8" w:space="0"/>
        </w:tcBorders>
      </w:tcPr>
    </w:tblStylePr>
    <w:tblStylePr w:type="lastRow">
      <w:rPr>
        <w:b/>
        <w:bCs/>
        <w:color w:val="1F497D" w:themeColor="text2"/>
      </w:rPr>
      <w:tblPr/>
      <w:tcPr>
        <w:tcBorders>
          <w:top w:val="single" w:color="F79646" w:themeColor="accent6" w:sz="8" w:space="0"/>
          <w:bottom w:val="single" w:color="F79646" w:themeColor="accent6" w:sz="8" w:space="0"/>
        </w:tcBorders>
      </w:tcPr>
    </w:tblStylePr>
    <w:tblStylePr w:type="firstCol">
      <w:rPr>
        <w:b/>
        <w:bCs/>
      </w:rPr>
    </w:tblStylePr>
    <w:tblStylePr w:type="lastCol">
      <w:rPr>
        <w:b/>
        <w:bCs/>
      </w:rPr>
      <w:tblPr/>
      <w:tcPr>
        <w:tcBorders>
          <w:top w:val="single" w:color="F79646" w:themeColor="accent6" w:sz="8" w:space="0"/>
          <w:bottom w:val="single" w:color="F79646" w:themeColor="accent6" w:sz="8" w:space="0"/>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edia2">
    <w:name w:val="Medium List 2"/>
    <w:basedOn w:val="Tablanormal"/>
    <w:uiPriority w:val="66"/>
    <w:qFormat/>
    <w:rPr>
      <w:rFonts w:asciiTheme="majorHAnsi" w:hAnsiTheme="majorHAnsi" w:eastAsiaTheme="majorEastAsia" w:cstheme="majorBidi"/>
      <w:color w:val="000000" w:themeColor="text1"/>
    </w:rPr>
    <w:tblPr>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rPr>
        <w:sz w:val="24"/>
        <w:szCs w:val="24"/>
      </w:rPr>
      <w:tblPr/>
      <w:tcPr>
        <w:tcBorders>
          <w:top w:val="nil"/>
          <w:left w:val="nil"/>
          <w:bottom w:val="single" w:color="000000" w:themeColor="text1" w:sz="24" w:space="0"/>
          <w:right w:val="nil"/>
          <w:insideH w:val="nil"/>
          <w:insideV w:val="nil"/>
        </w:tcBorders>
        <w:shd w:val="clear" w:color="auto" w:fill="FFFFFF" w:themeFill="background1"/>
      </w:tcPr>
    </w:tblStylePr>
    <w:tblStylePr w:type="lastRow">
      <w:tblPr/>
      <w:tcPr>
        <w:tcBorders>
          <w:top w:val="single" w:color="000000" w:themeColor="tex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000000" w:themeColor="text1" w:sz="8" w:space="0"/>
          <w:insideH w:val="nil"/>
          <w:insideV w:val="nil"/>
        </w:tcBorders>
        <w:shd w:val="clear" w:color="auto" w:fill="FFFFFF" w:themeFill="background1"/>
      </w:tcPr>
    </w:tblStylePr>
    <w:tblStylePr w:type="lastCol">
      <w:tblPr/>
      <w:tcPr>
        <w:tcBorders>
          <w:top w:val="nil"/>
          <w:left w:val="single" w:color="000000" w:themeColor="tex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1">
    <w:name w:val="Medium List 2 Accent 1"/>
    <w:basedOn w:val="Tablanormal"/>
    <w:uiPriority w:val="66"/>
    <w:rPr>
      <w:rFonts w:asciiTheme="majorHAnsi" w:hAnsiTheme="majorHAnsi" w:eastAsiaTheme="majorEastAsia" w:cstheme="majorBidi"/>
      <w:color w:val="000000" w:themeColor="text1"/>
    </w:rPr>
    <w:tblPr>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blStylePr w:type="firstRow">
      <w:rPr>
        <w:sz w:val="24"/>
        <w:szCs w:val="24"/>
      </w:rPr>
      <w:tblPr/>
      <w:tcPr>
        <w:tcBorders>
          <w:top w:val="nil"/>
          <w:left w:val="nil"/>
          <w:bottom w:val="single" w:color="4F81BD" w:themeColor="accent1" w:sz="24" w:space="0"/>
          <w:right w:val="nil"/>
          <w:insideH w:val="nil"/>
          <w:insideV w:val="nil"/>
        </w:tcBorders>
        <w:shd w:val="clear" w:color="auto" w:fill="FFFFFF" w:themeFill="background1"/>
      </w:tcPr>
    </w:tblStylePr>
    <w:tblStylePr w:type="lastRow">
      <w:tblPr/>
      <w:tcPr>
        <w:tcBorders>
          <w:top w:val="single" w:color="4F81BD" w:themeColor="accen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F81BD" w:themeColor="accent1" w:sz="8" w:space="0"/>
          <w:insideH w:val="nil"/>
          <w:insideV w:val="nil"/>
        </w:tcBorders>
        <w:shd w:val="clear" w:color="auto" w:fill="FFFFFF" w:themeFill="background1"/>
      </w:tcPr>
    </w:tblStylePr>
    <w:tblStylePr w:type="lastCol">
      <w:tblPr/>
      <w:tcPr>
        <w:tcBorders>
          <w:top w:val="nil"/>
          <w:left w:val="single" w:color="4F81BD" w:themeColor="accen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2">
    <w:name w:val="Medium List 2 Accent 2"/>
    <w:basedOn w:val="Tablanormal"/>
    <w:uiPriority w:val="66"/>
    <w:qFormat/>
    <w:rPr>
      <w:rFonts w:asciiTheme="majorHAnsi" w:hAnsiTheme="majorHAnsi" w:eastAsiaTheme="majorEastAsia" w:cstheme="majorBidi"/>
      <w:color w:val="000000" w:themeColor="text1"/>
    </w:rPr>
    <w:tblPr>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blStylePr w:type="firstRow">
      <w:rPr>
        <w:sz w:val="24"/>
        <w:szCs w:val="24"/>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tblPr/>
      <w:tcPr>
        <w:tcBorders>
          <w:top w:val="single" w:color="C0504D" w:themeColor="accent2"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C0504D" w:themeColor="accent2" w:sz="8" w:space="0"/>
          <w:insideH w:val="nil"/>
          <w:insideV w:val="nil"/>
        </w:tcBorders>
        <w:shd w:val="clear" w:color="auto" w:fill="FFFFFF" w:themeFill="background1"/>
      </w:tcPr>
    </w:tblStylePr>
    <w:tblStylePr w:type="lastCol">
      <w:tblPr/>
      <w:tcPr>
        <w:tcBorders>
          <w:top w:val="nil"/>
          <w:left w:val="single" w:color="C0504D" w:themeColor="accent2"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3">
    <w:name w:val="Medium List 2 Accent 3"/>
    <w:basedOn w:val="Tablanormal"/>
    <w:uiPriority w:val="66"/>
    <w:qFormat/>
    <w:rPr>
      <w:rFonts w:asciiTheme="majorHAnsi" w:hAnsiTheme="majorHAnsi" w:eastAsiaTheme="majorEastAsia" w:cstheme="majorBidi"/>
      <w:color w:val="000000" w:themeColor="text1"/>
    </w:rPr>
    <w:tblPr>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blStylePr w:type="firstRow">
      <w:rPr>
        <w:sz w:val="24"/>
        <w:szCs w:val="24"/>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tblPr/>
      <w:tcPr>
        <w:tcBorders>
          <w:top w:val="single" w:color="9BBB59" w:themeColor="accent3"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9BBB59" w:themeColor="accent3" w:sz="8" w:space="0"/>
          <w:insideH w:val="nil"/>
          <w:insideV w:val="nil"/>
        </w:tcBorders>
        <w:shd w:val="clear" w:color="auto" w:fill="FFFFFF" w:themeFill="background1"/>
      </w:tcPr>
    </w:tblStylePr>
    <w:tblStylePr w:type="lastCol">
      <w:tblPr/>
      <w:tcPr>
        <w:tcBorders>
          <w:top w:val="nil"/>
          <w:left w:val="single" w:color="9BBB59" w:themeColor="accent3"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4">
    <w:name w:val="Medium List 2 Accent 4"/>
    <w:basedOn w:val="Tablanormal"/>
    <w:uiPriority w:val="66"/>
    <w:qFormat/>
    <w:rPr>
      <w:rFonts w:asciiTheme="majorHAnsi" w:hAnsiTheme="majorHAnsi" w:eastAsiaTheme="majorEastAsia" w:cstheme="majorBidi"/>
      <w:color w:val="000000" w:themeColor="text1"/>
    </w:rPr>
    <w:tblPr>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blStylePr w:type="firstRow">
      <w:rPr>
        <w:sz w:val="24"/>
        <w:szCs w:val="24"/>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tblPr/>
      <w:tcPr>
        <w:tcBorders>
          <w:top w:val="single" w:color="8064A2" w:themeColor="accent4"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8064A2" w:themeColor="accent4" w:sz="8" w:space="0"/>
          <w:insideH w:val="nil"/>
          <w:insideV w:val="nil"/>
        </w:tcBorders>
        <w:shd w:val="clear" w:color="auto" w:fill="FFFFFF" w:themeFill="background1"/>
      </w:tcPr>
    </w:tblStylePr>
    <w:tblStylePr w:type="lastCol">
      <w:tblPr/>
      <w:tcPr>
        <w:tcBorders>
          <w:top w:val="nil"/>
          <w:left w:val="single" w:color="8064A2" w:themeColor="accent4"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5">
    <w:name w:val="Medium List 2 Accent 5"/>
    <w:basedOn w:val="Tablanormal"/>
    <w:uiPriority w:val="66"/>
    <w:qFormat/>
    <w:rPr>
      <w:rFonts w:asciiTheme="majorHAnsi" w:hAnsiTheme="majorHAnsi" w:eastAsiaTheme="majorEastAsia" w:cstheme="majorBidi"/>
      <w:color w:val="000000" w:themeColor="text1"/>
    </w:rPr>
    <w:tblPr>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blStylePr w:type="firstRow">
      <w:rPr>
        <w:sz w:val="24"/>
        <w:szCs w:val="24"/>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tblPr/>
      <w:tcPr>
        <w:tcBorders>
          <w:top w:val="single" w:color="4BACC6" w:themeColor="accent5"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BACC6" w:themeColor="accent5" w:sz="8" w:space="0"/>
          <w:insideH w:val="nil"/>
          <w:insideV w:val="nil"/>
        </w:tcBorders>
        <w:shd w:val="clear" w:color="auto" w:fill="FFFFFF" w:themeFill="background1"/>
      </w:tcPr>
    </w:tblStylePr>
    <w:tblStylePr w:type="lastCol">
      <w:tblPr/>
      <w:tcPr>
        <w:tcBorders>
          <w:top w:val="nil"/>
          <w:left w:val="single" w:color="4BACC6" w:themeColor="accent5"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6">
    <w:name w:val="Medium List 2 Accent 6"/>
    <w:basedOn w:val="Tablanormal"/>
    <w:uiPriority w:val="66"/>
    <w:qFormat/>
    <w:rPr>
      <w:rFonts w:asciiTheme="majorHAnsi" w:hAnsiTheme="majorHAnsi" w:eastAsiaTheme="majorEastAsia" w:cstheme="majorBidi"/>
      <w:color w:val="000000" w:themeColor="text1"/>
    </w:rPr>
    <w:tblPr>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blStylePr w:type="firstRow">
      <w:rPr>
        <w:sz w:val="24"/>
        <w:szCs w:val="24"/>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tblPr/>
      <w:tcPr>
        <w:tcBorders>
          <w:top w:val="single" w:color="F79646" w:themeColor="accent6"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F79646" w:themeColor="accent6" w:sz="8" w:space="0"/>
          <w:insideH w:val="nil"/>
          <w:insideV w:val="nil"/>
        </w:tcBorders>
        <w:shd w:val="clear" w:color="auto" w:fill="FFFFFF" w:themeFill="background1"/>
      </w:tcPr>
    </w:tblStylePr>
    <w:tblStylePr w:type="lastCol">
      <w:tblPr/>
      <w:tcPr>
        <w:tcBorders>
          <w:top w:val="nil"/>
          <w:left w:val="single" w:color="F79646" w:themeColor="accent6"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Cuadrculamedia1">
    <w:name w:val="Medium Grid 1"/>
    <w:basedOn w:val="Tablanormal"/>
    <w:uiPriority w:val="67"/>
    <w:qFormat/>
    <w:tblPr>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insideV w:val="single" w:color="404040" w:themeColor="text1" w:themeTint="BF" w:sz="8" w:space="0"/>
      </w:tblBorders>
    </w:tblPr>
    <w:tcPr>
      <w:shd w:val="clear" w:color="auto" w:fill="C0C0C0" w:themeFill="text1" w:themeFillTint="3F"/>
    </w:tcPr>
    <w:tblStylePr w:type="firstRow">
      <w:rPr>
        <w:b/>
        <w:bCs/>
      </w:rPr>
    </w:tblStylePr>
    <w:tblStylePr w:type="lastRow">
      <w:rPr>
        <w:b/>
        <w:bCs/>
      </w:rPr>
      <w:tblPr/>
      <w:tcPr>
        <w:tcBorders>
          <w:top w:val="single" w:color="404040" w:themeColor="text1" w:themeTint="BF" w:sz="18" w:space="0"/>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media1-nfasis1">
    <w:name w:val="Medium Grid 1 Accent 1"/>
    <w:basedOn w:val="Tablanormal"/>
    <w:uiPriority w:val="67"/>
    <w:qFormat/>
    <w:tblPr>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single" w:color="7BA0CD" w:themeColor="accent1" w:themeTint="BF" w:sz="8" w:space="0"/>
      </w:tblBorders>
    </w:tblPr>
    <w:tcPr>
      <w:shd w:val="clear" w:color="auto" w:fill="D3DFEE" w:themeFill="accent1" w:themeFillTint="3F"/>
    </w:tcPr>
    <w:tblStylePr w:type="firstRow">
      <w:rPr>
        <w:b/>
        <w:bCs/>
      </w:rPr>
    </w:tblStylePr>
    <w:tblStylePr w:type="lastRow">
      <w:rPr>
        <w:b/>
        <w:bCs/>
      </w:rPr>
      <w:tblPr/>
      <w:tcPr>
        <w:tcBorders>
          <w:top w:val="single" w:color="7BA0CD" w:themeColor="accent1" w:themeTint="BF" w:sz="18" w:space="0"/>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media1-nfasis2">
    <w:name w:val="Medium Grid 1 Accent 2"/>
    <w:basedOn w:val="Tablanormal"/>
    <w:uiPriority w:val="67"/>
    <w:qFormat/>
    <w:tblPr>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insideV w:val="single" w:color="CF7B79" w:themeColor="accent2" w:themeTint="BF" w:sz="8" w:space="0"/>
      </w:tblBorders>
    </w:tblPr>
    <w:tcPr>
      <w:shd w:val="clear" w:color="auto" w:fill="EFD3D2" w:themeFill="accent2" w:themeFillTint="3F"/>
    </w:tcPr>
    <w:tblStylePr w:type="firstRow">
      <w:rPr>
        <w:b/>
        <w:bCs/>
      </w:rPr>
    </w:tblStylePr>
    <w:tblStylePr w:type="lastRow">
      <w:rPr>
        <w:b/>
        <w:bCs/>
      </w:rPr>
      <w:tblPr/>
      <w:tcPr>
        <w:tcBorders>
          <w:top w:val="single" w:color="CF7B79" w:themeColor="accent2" w:themeTint="BF" w:sz="18" w:space="0"/>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media1-nfasis3">
    <w:name w:val="Medium Grid 1 Accent 3"/>
    <w:basedOn w:val="Tablanormal"/>
    <w:uiPriority w:val="67"/>
    <w:qFormat/>
    <w:tblPr>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insideV w:val="single" w:color="B3CC82" w:themeColor="accent3" w:themeTint="BF" w:sz="8" w:space="0"/>
      </w:tblBorders>
    </w:tblPr>
    <w:tcPr>
      <w:shd w:val="clear" w:color="auto" w:fill="E6EED5" w:themeFill="accent3" w:themeFillTint="3F"/>
    </w:tcPr>
    <w:tblStylePr w:type="firstRow">
      <w:rPr>
        <w:b/>
        <w:bCs/>
      </w:rPr>
    </w:tblStylePr>
    <w:tblStylePr w:type="lastRow">
      <w:rPr>
        <w:b/>
        <w:bCs/>
      </w:rPr>
      <w:tblPr/>
      <w:tcPr>
        <w:tcBorders>
          <w:top w:val="single" w:color="B3CC82" w:themeColor="accent3" w:themeTint="BF" w:sz="18" w:space="0"/>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media1-nfasis4">
    <w:name w:val="Medium Grid 1 Accent 4"/>
    <w:basedOn w:val="Tablanormal"/>
    <w:uiPriority w:val="67"/>
    <w:tblPr>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insideV w:val="single" w:color="9F8AB9" w:themeColor="accent4" w:themeTint="BF" w:sz="8" w:space="0"/>
      </w:tblBorders>
    </w:tblPr>
    <w:tcPr>
      <w:shd w:val="clear" w:color="auto" w:fill="DFD8E8" w:themeFill="accent4" w:themeFillTint="3F"/>
    </w:tcPr>
    <w:tblStylePr w:type="firstRow">
      <w:rPr>
        <w:b/>
        <w:bCs/>
      </w:rPr>
    </w:tblStylePr>
    <w:tblStylePr w:type="lastRow">
      <w:rPr>
        <w:b/>
        <w:bCs/>
      </w:rPr>
      <w:tblPr/>
      <w:tcPr>
        <w:tcBorders>
          <w:top w:val="single" w:color="9F8AB9" w:themeColor="accent4" w:themeTint="BF" w:sz="18" w:space="0"/>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media1-nfasis5">
    <w:name w:val="Medium Grid 1 Accent 5"/>
    <w:basedOn w:val="Tablanormal"/>
    <w:uiPriority w:val="67"/>
    <w:qFormat/>
    <w:tblPr>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insideV w:val="single" w:color="78C0D4" w:themeColor="accent5" w:themeTint="BF" w:sz="8" w:space="0"/>
      </w:tblBorders>
    </w:tblPr>
    <w:tcPr>
      <w:shd w:val="clear" w:color="auto" w:fill="D2EAF1" w:themeFill="accent5" w:themeFillTint="3F"/>
    </w:tcPr>
    <w:tblStylePr w:type="firstRow">
      <w:rPr>
        <w:b/>
        <w:bCs/>
      </w:rPr>
    </w:tblStylePr>
    <w:tblStylePr w:type="lastRow">
      <w:rPr>
        <w:b/>
        <w:bCs/>
      </w:rPr>
      <w:tblPr/>
      <w:tcPr>
        <w:tcBorders>
          <w:top w:val="single" w:color="78C0D4" w:themeColor="accent5" w:themeTint="BF" w:sz="18" w:space="0"/>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media1-nfasis6">
    <w:name w:val="Medium Grid 1 Accent 6"/>
    <w:basedOn w:val="Tablanormal"/>
    <w:uiPriority w:val="67"/>
    <w:qFormat/>
    <w:tblPr>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insideV w:val="single" w:color="F9B074" w:themeColor="accent6" w:themeTint="BF" w:sz="8" w:space="0"/>
      </w:tblBorders>
    </w:tblPr>
    <w:tcPr>
      <w:shd w:val="clear" w:color="auto" w:fill="FDE4D0" w:themeFill="accent6" w:themeFillTint="3F"/>
    </w:tcPr>
    <w:tblStylePr w:type="firstRow">
      <w:rPr>
        <w:b/>
        <w:bCs/>
      </w:rPr>
    </w:tblStylePr>
    <w:tblStylePr w:type="lastRow">
      <w:rPr>
        <w:b/>
        <w:bCs/>
      </w:rPr>
      <w:tblPr/>
      <w:tcPr>
        <w:tcBorders>
          <w:top w:val="single" w:color="F9B074" w:themeColor="accent6" w:themeTint="BF" w:sz="18" w:space="0"/>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uadrculamedia2">
    <w:name w:val="Medium Grid 2"/>
    <w:basedOn w:val="Tablanormal"/>
    <w:uiPriority w:val="68"/>
    <w:qFormat/>
    <w:rPr>
      <w:rFonts w:asciiTheme="majorHAnsi" w:hAnsiTheme="majorHAnsi" w:eastAsiaTheme="majorEastAsia" w:cstheme="majorBidi"/>
      <w:color w:val="000000" w:themeColor="text1"/>
    </w:rPr>
    <w:tblP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color="auto" w:sz="6" w:space="0"/>
          <w:insideV w:val="single" w:color="auto" w:sz="6" w:space="0"/>
        </w:tcBorders>
        <w:shd w:val="clear" w:color="auto" w:fill="808080" w:themeFill="text1" w:themeFillTint="7F"/>
      </w:tcPr>
    </w:tblStylePr>
    <w:tblStylePr w:type="nwCell">
      <w:tblPr/>
      <w:tcPr>
        <w:shd w:val="clear" w:color="auto" w:fill="FFFFFF" w:themeFill="background1"/>
      </w:tcPr>
    </w:tblStylePr>
  </w:style>
  <w:style w:type="table" w:styleId="Cuadrculamedia2-nfasis1">
    <w:name w:val="Medium Grid 2 Accent 1"/>
    <w:basedOn w:val="Tablanormal"/>
    <w:uiPriority w:val="68"/>
    <w:rPr>
      <w:rFonts w:asciiTheme="majorHAnsi" w:hAnsiTheme="majorHAnsi" w:eastAsiaTheme="majorEastAsia" w:cstheme="majorBidi"/>
      <w:color w:val="000000" w:themeColor="text1"/>
    </w:rPr>
    <w:tblPr>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color="auto" w:sz="6" w:space="0"/>
          <w:insideV w:val="single" w:color="auto" w:sz="6" w:space="0"/>
        </w:tcBorders>
        <w:shd w:val="clear" w:color="auto" w:fill="A7BFDE" w:themeFill="accent1" w:themeFillTint="7F"/>
      </w:tcPr>
    </w:tblStylePr>
    <w:tblStylePr w:type="nwCell">
      <w:tblPr/>
      <w:tcPr>
        <w:shd w:val="clear" w:color="auto" w:fill="FFFFFF" w:themeFill="background1"/>
      </w:tcPr>
    </w:tblStylePr>
  </w:style>
  <w:style w:type="table" w:styleId="Cuadrculamedia2-nfasis2">
    <w:name w:val="Medium Grid 2 Accent 2"/>
    <w:basedOn w:val="Tablanormal"/>
    <w:uiPriority w:val="68"/>
    <w:rPr>
      <w:rFonts w:asciiTheme="majorHAnsi" w:hAnsiTheme="majorHAnsi" w:eastAsiaTheme="majorEastAsia" w:cstheme="majorBidi"/>
      <w:color w:val="000000" w:themeColor="text1"/>
    </w:rPr>
    <w:tblPr>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color="auto" w:sz="6" w:space="0"/>
          <w:insideV w:val="single" w:color="auto" w:sz="6" w:space="0"/>
        </w:tcBorders>
        <w:shd w:val="clear" w:color="auto" w:fill="DFA7A6" w:themeFill="accent2" w:themeFillTint="7F"/>
      </w:tcPr>
    </w:tblStylePr>
    <w:tblStylePr w:type="nwCell">
      <w:tblPr/>
      <w:tcPr>
        <w:shd w:val="clear" w:color="auto" w:fill="FFFFFF" w:themeFill="background1"/>
      </w:tcPr>
    </w:tblStylePr>
  </w:style>
  <w:style w:type="table" w:styleId="Cuadrculamedia2-nfasis3">
    <w:name w:val="Medium Grid 2 Accent 3"/>
    <w:basedOn w:val="Tablanormal"/>
    <w:uiPriority w:val="68"/>
    <w:rPr>
      <w:rFonts w:asciiTheme="majorHAnsi" w:hAnsiTheme="majorHAnsi" w:eastAsiaTheme="majorEastAsia" w:cstheme="majorBidi"/>
      <w:color w:val="000000" w:themeColor="text1"/>
    </w:rPr>
    <w:tblPr>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color="auto" w:sz="6" w:space="0"/>
          <w:insideV w:val="single" w:color="auto" w:sz="6" w:space="0"/>
        </w:tcBorders>
        <w:shd w:val="clear" w:color="auto" w:fill="CDDDAC" w:themeFill="accent3" w:themeFillTint="7F"/>
      </w:tcPr>
    </w:tblStylePr>
    <w:tblStylePr w:type="nwCell">
      <w:tblPr/>
      <w:tcPr>
        <w:shd w:val="clear" w:color="auto" w:fill="FFFFFF" w:themeFill="background1"/>
      </w:tcPr>
    </w:tblStylePr>
  </w:style>
  <w:style w:type="table" w:styleId="Cuadrculamedia2-nfasis4">
    <w:name w:val="Medium Grid 2 Accent 4"/>
    <w:basedOn w:val="Tablanormal"/>
    <w:uiPriority w:val="68"/>
    <w:qFormat/>
    <w:rPr>
      <w:rFonts w:asciiTheme="majorHAnsi" w:hAnsiTheme="majorHAnsi" w:eastAsiaTheme="majorEastAsia" w:cstheme="majorBidi"/>
      <w:color w:val="000000" w:themeColor="text1"/>
    </w:rPr>
    <w:tblPr>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color="auto" w:sz="6" w:space="0"/>
          <w:insideV w:val="single" w:color="auto" w:sz="6" w:space="0"/>
        </w:tcBorders>
        <w:shd w:val="clear" w:color="auto" w:fill="BFB1D0" w:themeFill="accent4" w:themeFillTint="7F"/>
      </w:tcPr>
    </w:tblStylePr>
    <w:tblStylePr w:type="nwCell">
      <w:tblPr/>
      <w:tcPr>
        <w:shd w:val="clear" w:color="auto" w:fill="FFFFFF" w:themeFill="background1"/>
      </w:tcPr>
    </w:tblStylePr>
  </w:style>
  <w:style w:type="table" w:styleId="Cuadrculamedia2-nfasis5">
    <w:name w:val="Medium Grid 2 Accent 5"/>
    <w:basedOn w:val="Tablanormal"/>
    <w:uiPriority w:val="68"/>
    <w:qFormat/>
    <w:rPr>
      <w:rFonts w:asciiTheme="majorHAnsi" w:hAnsiTheme="majorHAnsi" w:eastAsiaTheme="majorEastAsia" w:cstheme="majorBidi"/>
      <w:color w:val="000000" w:themeColor="text1"/>
    </w:rPr>
    <w:tblPr>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color="auto" w:sz="6" w:space="0"/>
          <w:insideV w:val="single" w:color="auto" w:sz="6" w:space="0"/>
        </w:tcBorders>
        <w:shd w:val="clear" w:color="auto" w:fill="A5D5E2" w:themeFill="accent5" w:themeFillTint="7F"/>
      </w:tcPr>
    </w:tblStylePr>
    <w:tblStylePr w:type="nwCell">
      <w:tblPr/>
      <w:tcPr>
        <w:shd w:val="clear" w:color="auto" w:fill="FFFFFF" w:themeFill="background1"/>
      </w:tcPr>
    </w:tblStylePr>
  </w:style>
  <w:style w:type="table" w:styleId="Cuadrculamedia2-nfasis6">
    <w:name w:val="Medium Grid 2 Accent 6"/>
    <w:basedOn w:val="Tablanormal"/>
    <w:uiPriority w:val="68"/>
    <w:qFormat/>
    <w:rPr>
      <w:rFonts w:asciiTheme="majorHAnsi" w:hAnsiTheme="majorHAnsi" w:eastAsiaTheme="majorEastAsia" w:cstheme="majorBidi"/>
      <w:color w:val="000000" w:themeColor="text1"/>
    </w:rPr>
    <w:tblPr>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color="auto" w:sz="6" w:space="0"/>
          <w:insideV w:val="single" w:color="auto" w:sz="6" w:space="0"/>
        </w:tcBorders>
        <w:shd w:val="clear" w:color="auto" w:fill="FBCAA2" w:themeFill="accent6" w:themeFillTint="7F"/>
      </w:tcPr>
    </w:tblStylePr>
    <w:tblStylePr w:type="nwCell">
      <w:tblPr/>
      <w:tcPr>
        <w:shd w:val="clear" w:color="auto" w:fill="FFFFFF" w:themeFill="background1"/>
      </w:tcPr>
    </w:tblStylePr>
  </w:style>
  <w:style w:type="table" w:styleId="Cuadrculamedia3">
    <w:name w:val="Medium Grid 3"/>
    <w:basedOn w:val="Tablanormal"/>
    <w:uiPriority w:val="69"/>
    <w:qFormat/>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C0C0C0" w:themeFill="tex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auto" w:sz="8" w:space="0"/>
        </w:tcBorders>
        <w:shd w:val="clear" w:color="auto" w:fill="000000" w:themeFill="tex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auto" w:sz="8" w:space="0"/>
        </w:tcBorders>
        <w:shd w:val="clear" w:color="auto" w:fill="000000" w:themeFill="tex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000000" w:themeFill="tex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808080" w:themeFill="tex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auto" w:sz="8" w:space="0"/>
          <w:insideV w:val="single" w:color="auto" w:sz="8" w:space="0"/>
        </w:tcBorders>
        <w:shd w:val="clear" w:color="auto" w:fill="808080" w:themeFill="text1" w:themeFillTint="7F"/>
      </w:tcPr>
    </w:tblStylePr>
  </w:style>
  <w:style w:type="table" w:styleId="Cuadrculamedia3-nfasis1">
    <w:name w:val="Medium Grid 3 Accent 1"/>
    <w:basedOn w:val="Tablanormal"/>
    <w:uiPriority w:val="69"/>
    <w:qFormat/>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3DFEE" w:themeFill="accen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auto" w:sz="8" w:space="0"/>
        </w:tcBorders>
        <w:shd w:val="clear" w:color="auto" w:fill="4F81BD" w:themeFill="accen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auto" w:sz="8" w:space="0"/>
        </w:tcBorders>
        <w:shd w:val="clear" w:color="auto" w:fill="4F81BD" w:themeFill="accen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F81BD"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BFDE"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auto" w:sz="8" w:space="0"/>
          <w:insideV w:val="single" w:color="auto" w:sz="8" w:space="0"/>
        </w:tcBorders>
        <w:shd w:val="clear" w:color="auto" w:fill="A7BFDE" w:themeFill="accent1" w:themeFillTint="7F"/>
      </w:tcPr>
    </w:tblStylePr>
  </w:style>
  <w:style w:type="table" w:styleId="Cuadrculamedia3-nfasis2">
    <w:name w:val="Medium Grid 3 Accent 2"/>
    <w:basedOn w:val="Tablanormal"/>
    <w:uiPriority w:val="69"/>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FD3D2" w:themeFill="accent2"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auto" w:sz="8" w:space="0"/>
        </w:tcBorders>
        <w:shd w:val="clear" w:color="auto" w:fill="C0504D" w:themeFill="accent2"/>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auto" w:sz="8" w:space="0"/>
        </w:tcBorders>
        <w:shd w:val="clear" w:color="auto" w:fill="C0504D" w:themeFill="accent2"/>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C0504D" w:themeFill="accent2"/>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C0504D" w:themeFill="accent2"/>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DFA7A6" w:themeFill="accent2"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auto" w:sz="8" w:space="0"/>
          <w:insideV w:val="single" w:color="auto" w:sz="8" w:space="0"/>
        </w:tcBorders>
        <w:shd w:val="clear" w:color="auto" w:fill="DFA7A6" w:themeFill="accent2" w:themeFillTint="7F"/>
      </w:tcPr>
    </w:tblStylePr>
  </w:style>
  <w:style w:type="table" w:styleId="Cuadrculamedia3-nfasis3">
    <w:name w:val="Medium Grid 3 Accent 3"/>
    <w:basedOn w:val="Tablanormal"/>
    <w:uiPriority w:val="69"/>
    <w:qFormat/>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6EED5" w:themeFill="accent3"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auto" w:sz="8" w:space="0"/>
        </w:tcBorders>
        <w:shd w:val="clear" w:color="auto" w:fill="9BBB59" w:themeFill="accent3"/>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auto" w:sz="8" w:space="0"/>
        </w:tcBorders>
        <w:shd w:val="clear" w:color="auto" w:fill="9BBB59" w:themeFill="accent3"/>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9BBB59" w:themeFill="accent3"/>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9BBB59" w:themeFill="accent3"/>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DDDAC" w:themeFill="accent3"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auto" w:sz="8" w:space="0"/>
          <w:insideV w:val="single" w:color="auto" w:sz="8" w:space="0"/>
        </w:tcBorders>
        <w:shd w:val="clear" w:color="auto" w:fill="CDDDAC" w:themeFill="accent3" w:themeFillTint="7F"/>
      </w:tcPr>
    </w:tblStylePr>
  </w:style>
  <w:style w:type="table" w:styleId="Cuadrculamedia3-nfasis4">
    <w:name w:val="Medium Grid 3 Accent 4"/>
    <w:basedOn w:val="Tablanormal"/>
    <w:uiPriority w:val="69"/>
    <w:qFormat/>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FD8E8" w:themeFill="accent4"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auto" w:sz="8" w:space="0"/>
        </w:tcBorders>
        <w:shd w:val="clear" w:color="auto" w:fill="8064A2" w:themeFill="accent4"/>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auto" w:sz="8" w:space="0"/>
        </w:tcBorders>
        <w:shd w:val="clear" w:color="auto" w:fill="8064A2" w:themeFill="accent4"/>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8064A2" w:themeFill="accent4"/>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8064A2" w:themeFill="accent4"/>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FB1D0" w:themeFill="accent4"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auto" w:sz="8" w:space="0"/>
          <w:insideV w:val="single" w:color="auto" w:sz="8" w:space="0"/>
        </w:tcBorders>
        <w:shd w:val="clear" w:color="auto" w:fill="BFB1D0" w:themeFill="accent4" w:themeFillTint="7F"/>
      </w:tcPr>
    </w:tblStylePr>
  </w:style>
  <w:style w:type="table" w:styleId="Cuadrculamedia3-nfasis5">
    <w:name w:val="Medium Grid 3 Accent 5"/>
    <w:basedOn w:val="Tablanormal"/>
    <w:uiPriority w:val="69"/>
    <w:qFormat/>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2EAF1" w:themeFill="accent5"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auto" w:sz="8" w:space="0"/>
        </w:tcBorders>
        <w:shd w:val="clear" w:color="auto" w:fill="4BACC6" w:themeFill="accent5"/>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auto" w:sz="8" w:space="0"/>
        </w:tcBorders>
        <w:shd w:val="clear" w:color="auto" w:fill="4BACC6" w:themeFill="accent5"/>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BACC6" w:themeFill="accent5"/>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BACC6" w:themeFill="accent5"/>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5D5E2" w:themeFill="accent5"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auto" w:sz="8" w:space="0"/>
          <w:insideV w:val="single" w:color="auto" w:sz="8" w:space="0"/>
        </w:tcBorders>
        <w:shd w:val="clear" w:color="auto" w:fill="A5D5E2" w:themeFill="accent5" w:themeFillTint="7F"/>
      </w:tcPr>
    </w:tblStylePr>
  </w:style>
  <w:style w:type="table" w:styleId="Cuadrculamedia3-nfasis6">
    <w:name w:val="Medium Grid 3 Accent 6"/>
    <w:basedOn w:val="Tablanormal"/>
    <w:uiPriority w:val="69"/>
    <w:qFormat/>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FDE4D0" w:themeFill="accent6"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auto" w:sz="8" w:space="0"/>
        </w:tcBorders>
        <w:shd w:val="clear" w:color="auto" w:fill="F79646" w:themeFill="accent6"/>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auto" w:sz="8" w:space="0"/>
        </w:tcBorders>
        <w:shd w:val="clear" w:color="auto" w:fill="F79646" w:themeFill="accent6"/>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F79646"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auto" w:sz="8" w:space="0"/>
          <w:insideV w:val="single" w:color="auto" w:sz="8" w:space="0"/>
        </w:tcBorders>
        <w:shd w:val="clear" w:color="auto" w:fill="FBCAA2" w:themeFill="accent6" w:themeFillTint="7F"/>
      </w:tcPr>
    </w:tblStylePr>
  </w:style>
  <w:style w:type="table" w:styleId="Listaoscura">
    <w:name w:val="Dark List"/>
    <w:basedOn w:val="Tablanormal"/>
    <w:uiPriority w:val="70"/>
    <w:qFormat/>
    <w:rPr>
      <w:color w:val="FFFFFF" w:themeColor="background1"/>
    </w:rPr>
    <w:tblPr/>
    <w:tcPr>
      <w:shd w:val="clear" w:color="auto" w:fill="000000" w:themeFill="tex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lastCol">
      <w:tblPr/>
      <w:tcPr>
        <w:tcBorders>
          <w:top w:val="nil"/>
          <w:left w:val="single" w:color="FFFFFF" w:themeColor="background1" w:sz="18" w:space="0"/>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Listaoscura-nfasis1">
    <w:name w:val="Dark List Accent 1"/>
    <w:basedOn w:val="Tablanormal"/>
    <w:uiPriority w:val="70"/>
    <w:qFormat/>
    <w:rPr>
      <w:color w:val="FFFFFF" w:themeColor="background1"/>
    </w:rPr>
    <w:tblPr/>
    <w:tcPr>
      <w:shd w:val="clear" w:color="auto" w:fill="4F81BD" w:themeFill="accen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color="FFFFFF" w:themeColor="background1" w:sz="18" w:space="0"/>
          <w:insideH w:val="nil"/>
          <w:insideV w:val="nil"/>
        </w:tcBorders>
        <w:shd w:val="clear" w:color="auto" w:fill="365F91" w:themeFill="accent1" w:themeFillShade="BF"/>
      </w:tcPr>
    </w:tblStylePr>
    <w:tblStylePr w:type="lastCol">
      <w:tblPr/>
      <w:tcPr>
        <w:tcBorders>
          <w:top w:val="nil"/>
          <w:left w:val="single" w:color="FFFFFF" w:themeColor="background1" w:sz="18" w:space="0"/>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Listaoscura-nfasis2">
    <w:name w:val="Dark List Accent 2"/>
    <w:basedOn w:val="Tablanormal"/>
    <w:uiPriority w:val="70"/>
    <w:qFormat/>
    <w:rPr>
      <w:color w:val="FFFFFF" w:themeColor="background1"/>
    </w:rPr>
    <w:tblPr/>
    <w:tcPr>
      <w:shd w:val="clear" w:color="auto" w:fill="C0504D" w:themeFill="accent2"/>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color="FFFFFF" w:themeColor="background1" w:sz="18" w:space="0"/>
          <w:insideH w:val="nil"/>
          <w:insideV w:val="nil"/>
        </w:tcBorders>
        <w:shd w:val="clear" w:color="auto" w:fill="943634" w:themeFill="accent2" w:themeFillShade="BF"/>
      </w:tcPr>
    </w:tblStylePr>
    <w:tblStylePr w:type="lastCol">
      <w:tblPr/>
      <w:tcPr>
        <w:tcBorders>
          <w:top w:val="nil"/>
          <w:left w:val="single" w:color="FFFFFF" w:themeColor="background1" w:sz="18" w:space="0"/>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Listaoscura-nfasis3">
    <w:name w:val="Dark List Accent 3"/>
    <w:basedOn w:val="Tablanormal"/>
    <w:uiPriority w:val="70"/>
    <w:qFormat/>
    <w:rPr>
      <w:color w:val="FFFFFF" w:themeColor="background1"/>
    </w:rPr>
    <w:tblPr/>
    <w:tcPr>
      <w:shd w:val="clear" w:color="auto" w:fill="9BBB59" w:themeFill="accent3"/>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color="FFFFFF" w:themeColor="background1" w:sz="18" w:space="0"/>
          <w:insideH w:val="nil"/>
          <w:insideV w:val="nil"/>
        </w:tcBorders>
        <w:shd w:val="clear" w:color="auto" w:fill="76923C" w:themeFill="accent3" w:themeFillShade="BF"/>
      </w:tcPr>
    </w:tblStylePr>
    <w:tblStylePr w:type="lastCol">
      <w:tblPr/>
      <w:tcPr>
        <w:tcBorders>
          <w:top w:val="nil"/>
          <w:left w:val="single" w:color="FFFFFF" w:themeColor="background1" w:sz="18" w:space="0"/>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Listaoscura-nfasis4">
    <w:name w:val="Dark List Accent 4"/>
    <w:basedOn w:val="Tablanormal"/>
    <w:uiPriority w:val="70"/>
    <w:qFormat/>
    <w:rPr>
      <w:color w:val="FFFFFF" w:themeColor="background1"/>
    </w:rPr>
    <w:tblPr/>
    <w:tcPr>
      <w:shd w:val="clear" w:color="auto" w:fill="8064A2" w:themeFill="accent4"/>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color="FFFFFF" w:themeColor="background1" w:sz="18" w:space="0"/>
          <w:insideH w:val="nil"/>
          <w:insideV w:val="nil"/>
        </w:tcBorders>
        <w:shd w:val="clear" w:color="auto" w:fill="5F497A" w:themeFill="accent4" w:themeFillShade="BF"/>
      </w:tcPr>
    </w:tblStylePr>
    <w:tblStylePr w:type="lastCol">
      <w:tblPr/>
      <w:tcPr>
        <w:tcBorders>
          <w:top w:val="nil"/>
          <w:left w:val="single" w:color="FFFFFF" w:themeColor="background1" w:sz="18" w:space="0"/>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Listaoscura-nfasis5">
    <w:name w:val="Dark List Accent 5"/>
    <w:basedOn w:val="Tablanormal"/>
    <w:uiPriority w:val="70"/>
    <w:qFormat/>
    <w:rPr>
      <w:color w:val="FFFFFF" w:themeColor="background1"/>
    </w:rPr>
    <w:tblPr/>
    <w:tcPr>
      <w:shd w:val="clear" w:color="auto" w:fill="4BACC6" w:themeFill="accent5"/>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color="FFFFFF" w:themeColor="background1" w:sz="18" w:space="0"/>
          <w:insideH w:val="nil"/>
          <w:insideV w:val="nil"/>
        </w:tcBorders>
        <w:shd w:val="clear" w:color="auto" w:fill="31849B" w:themeFill="accent5" w:themeFillShade="BF"/>
      </w:tcPr>
    </w:tblStylePr>
    <w:tblStylePr w:type="lastCol">
      <w:tblPr/>
      <w:tcPr>
        <w:tcBorders>
          <w:top w:val="nil"/>
          <w:left w:val="single" w:color="FFFFFF" w:themeColor="background1" w:sz="18" w:space="0"/>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Listaoscura-nfasis6">
    <w:name w:val="Dark List Accent 6"/>
    <w:basedOn w:val="Tablanormal"/>
    <w:uiPriority w:val="70"/>
    <w:qFormat/>
    <w:rPr>
      <w:color w:val="FFFFFF" w:themeColor="background1"/>
    </w:rPr>
    <w:tblPr/>
    <w:tcPr>
      <w:shd w:val="clear" w:color="auto" w:fill="F79646" w:themeFill="accent6"/>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color="FFFFFF" w:themeColor="background1" w:sz="18" w:space="0"/>
          <w:insideH w:val="nil"/>
          <w:insideV w:val="nil"/>
        </w:tcBorders>
        <w:shd w:val="clear" w:color="auto" w:fill="E36C0A" w:themeFill="accent6" w:themeFillShade="BF"/>
      </w:tcPr>
    </w:tblStylePr>
    <w:tblStylePr w:type="lastCol">
      <w:tblPr/>
      <w:tcPr>
        <w:tcBorders>
          <w:top w:val="nil"/>
          <w:left w:val="single" w:color="FFFFFF" w:themeColor="background1" w:sz="18" w:space="0"/>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Sombreadovistoso">
    <w:name w:val="Colorful Shading"/>
    <w:basedOn w:val="Tablanormal"/>
    <w:uiPriority w:val="71"/>
    <w:qFormat/>
    <w:rPr>
      <w:color w:val="000000" w:themeColor="text1"/>
    </w:rPr>
    <w:tblPr>
      <w:tblBorders>
        <w:top w:val="single" w:color="C0504D"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Pr>
    <w:tcPr>
      <w:shd w:val="clear" w:color="auto" w:fill="E6E6E6" w:themeFill="tex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color="auto" w:sz="4" w:space="0"/>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ombreadovistoso-nfasis1">
    <w:name w:val="Colorful Shading Accent 1"/>
    <w:basedOn w:val="Tablanormal"/>
    <w:uiPriority w:val="71"/>
    <w:qFormat/>
    <w:rPr>
      <w:color w:val="000000" w:themeColor="text1"/>
    </w:rPr>
    <w:tblPr>
      <w:tblBorders>
        <w:top w:val="single" w:color="C0504D" w:themeColor="accent2" w:sz="24" w:space="0"/>
        <w:left w:val="single" w:color="4F81BD" w:themeColor="accent1" w:sz="4" w:space="0"/>
        <w:bottom w:val="single" w:color="4F81BD" w:themeColor="accent1" w:sz="4" w:space="0"/>
        <w:right w:val="single" w:color="4F81BD" w:themeColor="accent1" w:sz="4" w:space="0"/>
        <w:insideH w:val="single" w:color="FFFFFF" w:themeColor="background1" w:sz="4" w:space="0"/>
        <w:insideV w:val="single" w:color="FFFFFF" w:themeColor="background1" w:sz="4" w:space="0"/>
      </w:tblBorders>
    </w:tblPr>
    <w:tcPr>
      <w:shd w:val="clear" w:color="auto" w:fill="EDF2F8" w:themeFill="accen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color="auto" w:sz="4" w:space="0"/>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Sombreadovistoso-nfasis2">
    <w:name w:val="Colorful Shading Accent 2"/>
    <w:basedOn w:val="Tablanormal"/>
    <w:uiPriority w:val="71"/>
    <w:qFormat/>
    <w:rPr>
      <w:color w:val="000000" w:themeColor="text1"/>
    </w:rPr>
    <w:tblPr>
      <w:tblBorders>
        <w:top w:val="single" w:color="C0504D" w:themeColor="accent2" w:sz="24" w:space="0"/>
        <w:left w:val="single" w:color="C0504D" w:themeColor="accent2" w:sz="4" w:space="0"/>
        <w:bottom w:val="single" w:color="C0504D" w:themeColor="accent2" w:sz="4" w:space="0"/>
        <w:right w:val="single" w:color="C0504D" w:themeColor="accent2" w:sz="4" w:space="0"/>
        <w:insideH w:val="single" w:color="FFFFFF" w:themeColor="background1" w:sz="4" w:space="0"/>
        <w:insideV w:val="single" w:color="FFFFFF" w:themeColor="background1" w:sz="4" w:space="0"/>
      </w:tblBorders>
    </w:tblPr>
    <w:tcPr>
      <w:shd w:val="clear" w:color="auto" w:fill="F8EDED" w:themeFill="accent2"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color="auto" w:sz="4" w:space="0"/>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Sombreadovistoso-nfasis3">
    <w:name w:val="Colorful Shading Accent 3"/>
    <w:basedOn w:val="Tablanormal"/>
    <w:uiPriority w:val="71"/>
    <w:qFormat/>
    <w:rPr>
      <w:color w:val="000000" w:themeColor="text1"/>
    </w:rPr>
    <w:tblPr>
      <w:tblBorders>
        <w:top w:val="single" w:color="8064A2" w:themeColor="accent4" w:sz="24" w:space="0"/>
        <w:left w:val="single" w:color="9BBB59" w:themeColor="accent3" w:sz="4" w:space="0"/>
        <w:bottom w:val="single" w:color="9BBB59" w:themeColor="accent3" w:sz="4" w:space="0"/>
        <w:right w:val="single" w:color="9BBB59" w:themeColor="accent3" w:sz="4" w:space="0"/>
        <w:insideH w:val="single" w:color="FFFFFF" w:themeColor="background1" w:sz="4" w:space="0"/>
        <w:insideV w:val="single" w:color="FFFFFF" w:themeColor="background1" w:sz="4" w:space="0"/>
      </w:tblBorders>
    </w:tblPr>
    <w:tcPr>
      <w:shd w:val="clear" w:color="auto" w:fill="F5F8EE" w:themeFill="accent3" w:themeFillTint="19"/>
    </w:tcPr>
    <w:tblStylePr w:type="firstRow">
      <w:rPr>
        <w:b/>
        <w:bCs/>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color="auto" w:sz="4" w:space="0"/>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Sombreadovistoso-nfasis4">
    <w:name w:val="Colorful Shading Accent 4"/>
    <w:basedOn w:val="Tablanormal"/>
    <w:uiPriority w:val="71"/>
    <w:qFormat/>
    <w:rPr>
      <w:color w:val="000000" w:themeColor="text1"/>
    </w:rPr>
    <w:tblPr>
      <w:tblBorders>
        <w:top w:val="single" w:color="9BBB59" w:themeColor="accent3" w:sz="24" w:space="0"/>
        <w:left w:val="single" w:color="8064A2" w:themeColor="accent4" w:sz="4" w:space="0"/>
        <w:bottom w:val="single" w:color="8064A2" w:themeColor="accent4" w:sz="4" w:space="0"/>
        <w:right w:val="single" w:color="8064A2" w:themeColor="accent4" w:sz="4" w:space="0"/>
        <w:insideH w:val="single" w:color="FFFFFF" w:themeColor="background1" w:sz="4" w:space="0"/>
        <w:insideV w:val="single" w:color="FFFFFF" w:themeColor="background1" w:sz="4" w:space="0"/>
      </w:tblBorders>
    </w:tblPr>
    <w:tcPr>
      <w:shd w:val="clear" w:color="auto" w:fill="F2EFF6" w:themeFill="accent4" w:themeFillTint="19"/>
    </w:tcPr>
    <w:tblStylePr w:type="firstRow">
      <w:rPr>
        <w:b/>
        <w:bCs/>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color="auto" w:sz="4" w:space="0"/>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Sombreadovistoso-nfasis5">
    <w:name w:val="Colorful Shading Accent 5"/>
    <w:basedOn w:val="Tablanormal"/>
    <w:uiPriority w:val="71"/>
    <w:qFormat/>
    <w:rPr>
      <w:color w:val="000000" w:themeColor="text1"/>
    </w:rPr>
    <w:tblPr>
      <w:tblBorders>
        <w:top w:val="single" w:color="F79646" w:themeColor="accent6" w:sz="24" w:space="0"/>
        <w:left w:val="single" w:color="4BACC6" w:themeColor="accent5" w:sz="4" w:space="0"/>
        <w:bottom w:val="single" w:color="4BACC6" w:themeColor="accent5" w:sz="4" w:space="0"/>
        <w:right w:val="single" w:color="4BACC6" w:themeColor="accent5" w:sz="4" w:space="0"/>
        <w:insideH w:val="single" w:color="FFFFFF" w:themeColor="background1" w:sz="4" w:space="0"/>
        <w:insideV w:val="single" w:color="FFFFFF" w:themeColor="background1" w:sz="4" w:space="0"/>
      </w:tblBorders>
    </w:tblPr>
    <w:tcPr>
      <w:shd w:val="clear" w:color="auto" w:fill="EDF6F9" w:themeFill="accent5" w:themeFillTint="19"/>
    </w:tcPr>
    <w:tblStylePr w:type="firstRow">
      <w:rPr>
        <w:b/>
        <w:bCs/>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color="auto" w:sz="4" w:space="0"/>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Sombreadovistoso-nfasis6">
    <w:name w:val="Colorful Shading Accent 6"/>
    <w:basedOn w:val="Tablanormal"/>
    <w:uiPriority w:val="71"/>
    <w:qFormat/>
    <w:rPr>
      <w:color w:val="000000" w:themeColor="text1"/>
    </w:rPr>
    <w:tblPr>
      <w:tblBorders>
        <w:top w:val="single" w:color="4BACC6" w:themeColor="accent5" w:sz="24" w:space="0"/>
        <w:left w:val="single" w:color="F79646" w:themeColor="accent6" w:sz="4" w:space="0"/>
        <w:bottom w:val="single" w:color="F79646" w:themeColor="accent6" w:sz="4" w:space="0"/>
        <w:right w:val="single" w:color="F79646" w:themeColor="accent6" w:sz="4" w:space="0"/>
        <w:insideH w:val="single" w:color="FFFFFF" w:themeColor="background1" w:sz="4" w:space="0"/>
        <w:insideV w:val="single" w:color="FFFFFF" w:themeColor="background1" w:sz="4" w:space="0"/>
      </w:tblBorders>
    </w:tblPr>
    <w:tcPr>
      <w:shd w:val="clear" w:color="auto" w:fill="FEF4EC" w:themeFill="accent6" w:themeFillTint="19"/>
    </w:tcPr>
    <w:tblStylePr w:type="firstRow">
      <w:rPr>
        <w:b/>
        <w:bCs/>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color="auto" w:sz="4" w:space="0"/>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Listavistosa">
    <w:name w:val="Colorful List"/>
    <w:basedOn w:val="Tablanormal"/>
    <w:uiPriority w:val="72"/>
    <w:qFormat/>
    <w:rPr>
      <w:color w:val="000000" w:themeColor="text1"/>
    </w:rPr>
    <w:tblPr/>
    <w:tcPr>
      <w:shd w:val="clear" w:color="auto" w:fill="E6E6E6" w:themeFill="tex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Listavistosa-nfasis1">
    <w:name w:val="Colorful List Accent 1"/>
    <w:basedOn w:val="Tablanormal"/>
    <w:uiPriority w:val="72"/>
    <w:qFormat/>
    <w:rPr>
      <w:color w:val="000000" w:themeColor="text1"/>
    </w:rPr>
    <w:tblPr/>
    <w:tcPr>
      <w:shd w:val="clear" w:color="auto" w:fill="EDF2F8" w:themeFill="accen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Listavistosa-nfasis2">
    <w:name w:val="Colorful List Accent 2"/>
    <w:basedOn w:val="Tablanormal"/>
    <w:uiPriority w:val="72"/>
    <w:qFormat/>
    <w:rPr>
      <w:color w:val="000000" w:themeColor="text1"/>
    </w:rPr>
    <w:tblPr/>
    <w:tcPr>
      <w:shd w:val="clear" w:color="auto" w:fill="F8EDED" w:themeFill="accent2"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Listavistosa-nfasis3">
    <w:name w:val="Colorful List Accent 3"/>
    <w:basedOn w:val="Tablanormal"/>
    <w:uiPriority w:val="72"/>
    <w:qFormat/>
    <w:rPr>
      <w:color w:val="000000" w:themeColor="text1"/>
    </w:rPr>
    <w:tblPr/>
    <w:tcPr>
      <w:shd w:val="clear" w:color="auto" w:fill="F5F8EE" w:themeFill="accent3" w:themeFillTint="19"/>
    </w:tcPr>
    <w:tblStylePr w:type="firstRow">
      <w:rPr>
        <w:b/>
        <w:bCs/>
        <w:color w:val="FFFFFF" w:themeColor="background1"/>
      </w:rPr>
      <w:tblPr/>
      <w:tcPr>
        <w:tcBorders>
          <w:bottom w:val="single" w:color="FFFFFF" w:themeColor="background1" w:sz="12" w:space="0"/>
        </w:tcBorders>
        <w:shd w:val="clear" w:color="auto" w:fill="664E82" w:themeFill="accent4" w:themeFillShade="CC"/>
      </w:tcPr>
    </w:tblStylePr>
    <w:tblStylePr w:type="lastRow">
      <w:rPr>
        <w:b/>
        <w:bCs/>
        <w:color w:val="664E82" w:themeColor="accent4"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Listavistosa-nfasis4">
    <w:name w:val="Colorful List Accent 4"/>
    <w:basedOn w:val="Tablanormal"/>
    <w:uiPriority w:val="72"/>
    <w:qFormat/>
    <w:rPr>
      <w:color w:val="000000" w:themeColor="text1"/>
    </w:rPr>
    <w:tblPr/>
    <w:tcPr>
      <w:shd w:val="clear" w:color="auto" w:fill="F2EFF6" w:themeFill="accent4" w:themeFillTint="19"/>
    </w:tcPr>
    <w:tblStylePr w:type="firstRow">
      <w:rPr>
        <w:b/>
        <w:bCs/>
        <w:color w:val="FFFFFF" w:themeColor="background1"/>
      </w:rPr>
      <w:tblPr/>
      <w:tcPr>
        <w:tcBorders>
          <w:bottom w:val="single" w:color="FFFFFF" w:themeColor="background1" w:sz="12" w:space="0"/>
        </w:tcBorders>
        <w:shd w:val="clear" w:color="auto" w:fill="7E9C40" w:themeFill="accent3" w:themeFillShade="CC"/>
      </w:tcPr>
    </w:tblStylePr>
    <w:tblStylePr w:type="lastRow">
      <w:rPr>
        <w:b/>
        <w:bCs/>
        <w:color w:val="7E9C40" w:themeColor="accent3"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Listavistosa-nfasis5">
    <w:name w:val="Colorful List Accent 5"/>
    <w:basedOn w:val="Tablanormal"/>
    <w:uiPriority w:val="72"/>
    <w:qFormat/>
    <w:rPr>
      <w:color w:val="000000" w:themeColor="text1"/>
    </w:rPr>
    <w:tblPr/>
    <w:tcPr>
      <w:shd w:val="clear" w:color="auto" w:fill="EDF6F9" w:themeFill="accent5" w:themeFillTint="19"/>
    </w:tcPr>
    <w:tblStylePr w:type="firstRow">
      <w:rPr>
        <w:b/>
        <w:bCs/>
        <w:color w:val="FFFFFF" w:themeColor="background1"/>
      </w:rPr>
      <w:tblPr/>
      <w:tcPr>
        <w:tcBorders>
          <w:bottom w:val="single" w:color="FFFFFF" w:themeColor="background1" w:sz="12" w:space="0"/>
        </w:tcBorders>
        <w:shd w:val="clear" w:color="auto" w:fill="F2730A" w:themeFill="accent6" w:themeFillShade="CC"/>
      </w:tcPr>
    </w:tblStylePr>
    <w:tblStylePr w:type="lastRow">
      <w:rPr>
        <w:b/>
        <w:bCs/>
        <w:color w:val="F2730A" w:themeColor="accent6"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Listavistosa-nfasis6">
    <w:name w:val="Colorful List Accent 6"/>
    <w:basedOn w:val="Tablanormal"/>
    <w:uiPriority w:val="72"/>
    <w:qFormat/>
    <w:rPr>
      <w:color w:val="000000" w:themeColor="text1"/>
    </w:rPr>
    <w:tblPr/>
    <w:tcPr>
      <w:shd w:val="clear" w:color="auto" w:fill="FEF4EC" w:themeFill="accent6" w:themeFillTint="19"/>
    </w:tcPr>
    <w:tblStylePr w:type="firstRow">
      <w:rPr>
        <w:b/>
        <w:bCs/>
        <w:color w:val="FFFFFF" w:themeColor="background1"/>
      </w:rPr>
      <w:tblPr/>
      <w:tcPr>
        <w:tcBorders>
          <w:bottom w:val="single" w:color="FFFFFF" w:themeColor="background1" w:sz="12" w:space="0"/>
        </w:tcBorders>
        <w:shd w:val="clear" w:color="auto" w:fill="348DA5" w:themeFill="accent5" w:themeFillShade="CC"/>
      </w:tcPr>
    </w:tblStylePr>
    <w:tblStylePr w:type="lastRow">
      <w:rPr>
        <w:b/>
        <w:bCs/>
        <w:color w:val="348DA5" w:themeColor="accent5"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uadrculavistosa">
    <w:name w:val="Colorful Grid"/>
    <w:basedOn w:val="Tablanormal"/>
    <w:uiPriority w:val="73"/>
    <w:qFormat/>
    <w:rPr>
      <w:color w:val="000000" w:themeColor="text1"/>
    </w:rPr>
    <w:tblPr>
      <w:tblBorders>
        <w:insideH w:val="single" w:color="FFFFFF" w:themeColor="background1" w:sz="4" w:space="0"/>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vistosa-nfasis1">
    <w:name w:val="Colorful Grid Accent 1"/>
    <w:basedOn w:val="Tablanormal"/>
    <w:uiPriority w:val="73"/>
    <w:qFormat/>
    <w:rPr>
      <w:color w:val="000000" w:themeColor="text1"/>
    </w:rPr>
    <w:tblPr>
      <w:tblBorders>
        <w:insideH w:val="single" w:color="FFFFFF" w:themeColor="background1" w:sz="4" w:space="0"/>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vistosa-nfasis2">
    <w:name w:val="Colorful Grid Accent 2"/>
    <w:basedOn w:val="Tablanormal"/>
    <w:uiPriority w:val="73"/>
    <w:qFormat/>
    <w:rPr>
      <w:color w:val="000000" w:themeColor="text1"/>
    </w:rPr>
    <w:tblPr>
      <w:tblBorders>
        <w:insideH w:val="single" w:color="FFFFFF" w:themeColor="background1" w:sz="4" w:space="0"/>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vistosa-nfasis3">
    <w:name w:val="Colorful Grid Accent 3"/>
    <w:basedOn w:val="Tablanormal"/>
    <w:uiPriority w:val="73"/>
    <w:qFormat/>
    <w:rPr>
      <w:color w:val="000000" w:themeColor="text1"/>
    </w:rPr>
    <w:tblPr>
      <w:tblBorders>
        <w:insideH w:val="single" w:color="FFFFFF" w:themeColor="background1" w:sz="4" w:space="0"/>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vistosa-nfasis4">
    <w:name w:val="Colorful Grid Accent 4"/>
    <w:basedOn w:val="Tablanormal"/>
    <w:uiPriority w:val="73"/>
    <w:qFormat/>
    <w:rPr>
      <w:color w:val="000000" w:themeColor="text1"/>
    </w:rPr>
    <w:tblPr>
      <w:tblBorders>
        <w:insideH w:val="single" w:color="FFFFFF" w:themeColor="background1" w:sz="4" w:space="0"/>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vistosa-nfasis5">
    <w:name w:val="Colorful Grid Accent 5"/>
    <w:basedOn w:val="Tablanormal"/>
    <w:uiPriority w:val="73"/>
    <w:qFormat/>
    <w:rPr>
      <w:color w:val="000000" w:themeColor="text1"/>
    </w:rPr>
    <w:tblPr>
      <w:tblBorders>
        <w:insideH w:val="single" w:color="FFFFFF" w:themeColor="background1" w:sz="4" w:space="0"/>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vistosa-nfasis6">
    <w:name w:val="Colorful Grid Accent 6"/>
    <w:basedOn w:val="Tablanormal"/>
    <w:uiPriority w:val="73"/>
    <w:qFormat/>
    <w:rPr>
      <w:color w:val="000000" w:themeColor="text1"/>
    </w:rPr>
    <w:tblPr>
      <w:tblBorders>
        <w:insideH w:val="single" w:color="FFFFFF" w:themeColor="background1" w:sz="4" w:space="0"/>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Mencinsinresolver1" w:customStyle="1">
    <w:name w:val="Mención sin resolver1"/>
    <w:basedOn w:val="Fuentedeprrafopredeter"/>
    <w:uiPriority w:val="99"/>
    <w:semiHidden/>
    <w:unhideWhenUsed/>
    <w:qFormat/>
    <w:rPr>
      <w:color w:val="605E5C"/>
      <w:shd w:val="clear" w:color="auto" w:fill="E1DFDD"/>
    </w:rPr>
  </w:style>
  <w:style w:type="character" w:styleId="TextonotapieCar" w:customStyle="1">
    <w:name w:val="Texto nota pie Car"/>
    <w:basedOn w:val="Fuentedeprrafopredeter"/>
    <w:link w:val="Textonotapie"/>
    <w:uiPriority w:val="99"/>
    <w:semiHidden/>
    <w:qFormat/>
    <w:rPr>
      <w:rFonts w:ascii="Calibri" w:hAnsi="Calibri" w:eastAsia="Calibri"/>
      <w:sz w:val="20"/>
      <w:szCs w:val="20"/>
    </w:rPr>
  </w:style>
  <w:style w:type="character" w:styleId="TextocomentarioCar" w:customStyle="1">
    <w:name w:val="Texto comentario Car"/>
    <w:basedOn w:val="Fuentedeprrafopredeter"/>
    <w:link w:val="Textocomentario"/>
    <w:uiPriority w:val="99"/>
    <w:semiHidden/>
    <w:qFormat/>
    <w:rPr>
      <w:rFonts w:ascii="Calibri" w:hAnsi="Calibri" w:eastAsia="Calibri"/>
      <w:sz w:val="20"/>
      <w:szCs w:val="20"/>
    </w:rPr>
  </w:style>
  <w:style w:type="character" w:styleId="Ttulo2Car" w:customStyle="1">
    <w:name w:val="Título 2 Car"/>
    <w:basedOn w:val="Fuentedeprrafopredeter"/>
    <w:uiPriority w:val="9"/>
    <w:qFormat/>
    <w:rPr>
      <w:rFonts w:asciiTheme="majorHAnsi" w:hAnsiTheme="majorHAnsi" w:eastAsiaTheme="majorEastAsia" w:cstheme="majorBidi"/>
      <w:b/>
      <w:bCs/>
      <w:color w:val="4F81BD" w:themeColor="accent1"/>
      <w:sz w:val="26"/>
      <w:szCs w:val="26"/>
    </w:rPr>
  </w:style>
  <w:style w:type="character" w:styleId="Mencinsinresolver">
    <w:name w:val="Unresolved Mention"/>
    <w:basedOn w:val="Fuentedeprrafopredeter"/>
    <w:uiPriority w:val="99"/>
    <w:semiHidden/>
    <w:unhideWhenUsed/>
    <w:rsid w:val="002352A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879531">
      <w:bodyDiv w:val="1"/>
      <w:marLeft w:val="0"/>
      <w:marRight w:val="0"/>
      <w:marTop w:val="0"/>
      <w:marBottom w:val="0"/>
      <w:divBdr>
        <w:top w:val="none" w:sz="0" w:space="0" w:color="auto"/>
        <w:left w:val="none" w:sz="0" w:space="0" w:color="auto"/>
        <w:bottom w:val="none" w:sz="0" w:space="0" w:color="auto"/>
        <w:right w:val="none" w:sz="0" w:space="0" w:color="auto"/>
      </w:divBdr>
      <w:divsChild>
        <w:div w:id="1610627800">
          <w:marLeft w:val="0"/>
          <w:marRight w:val="0"/>
          <w:marTop w:val="0"/>
          <w:marBottom w:val="0"/>
          <w:divBdr>
            <w:top w:val="none" w:sz="0" w:space="0" w:color="auto"/>
            <w:left w:val="none" w:sz="0" w:space="0" w:color="auto"/>
            <w:bottom w:val="none" w:sz="0" w:space="0" w:color="auto"/>
            <w:right w:val="none" w:sz="0" w:space="0" w:color="auto"/>
          </w:divBdr>
        </w:div>
      </w:divsChild>
    </w:div>
    <w:div w:id="1632860402">
      <w:bodyDiv w:val="1"/>
      <w:marLeft w:val="0"/>
      <w:marRight w:val="0"/>
      <w:marTop w:val="0"/>
      <w:marBottom w:val="0"/>
      <w:divBdr>
        <w:top w:val="none" w:sz="0" w:space="0" w:color="auto"/>
        <w:left w:val="none" w:sz="0" w:space="0" w:color="auto"/>
        <w:bottom w:val="none" w:sz="0" w:space="0" w:color="auto"/>
        <w:right w:val="none" w:sz="0" w:space="0" w:color="auto"/>
      </w:divBdr>
      <w:divsChild>
        <w:div w:id="1121070002">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&#65279;<?xml version="1.0" encoding="utf-8"?><Relationships xmlns="http://schemas.openxmlformats.org/package/2006/relationships"><Relationship Type="http://schemas.openxmlformats.org/officeDocument/2006/relationships/image" Target="media/image15.png" Id="rId26" /><Relationship Type="http://schemas.openxmlformats.org/officeDocument/2006/relationships/image" Target="media/image10.png" Id="rId21" /><Relationship Type="http://schemas.openxmlformats.org/officeDocument/2006/relationships/hyperlink" Target="https://anla.gov.co" TargetMode="External" Id="rId42" /><Relationship Type="http://schemas.openxmlformats.org/officeDocument/2006/relationships/hyperlink" Target="https://fnca.eu/guia-nueva-cultura-del-agua/areas/agua-y-ecosistemas/178-sedimentos-fluviales-los-olvidados" TargetMode="External" Id="rId47" /><Relationship Type="http://schemas.openxmlformats.org/officeDocument/2006/relationships/hyperlink" Target="https://materialesdeconstruccion.pro/que-es-material-de-construccion/" TargetMode="External" Id="rId63" /><Relationship Type="http://schemas.openxmlformats.org/officeDocument/2006/relationships/hyperlink" Target="https://noticiasdelaciencia.com/art/55285/la-importancia-vital-de-los-sedimentos-en-los-ecosistemas-fluviales-y-costeros" TargetMode="External" Id="rId68" /><Relationship Type="http://schemas.openxmlformats.org/officeDocument/2006/relationships/hyperlink" Target="https://repositorio.unal.edu.co/bitstreams/1c7826b7-39a8-408b-be68-1536b69324c3/download" TargetMode="External" Id="rId84" /><Relationship Type="http://schemas.openxmlformats.org/officeDocument/2006/relationships/hyperlink" Target="https://deca.upc.edu/es/el-departamento/secciones/itcg/docencia/asignaturas/geolquat/teoria/T4/T4-PFD-fluviales-1" TargetMode="External" Id="rId89" /><Relationship Type="http://schemas.openxmlformats.org/officeDocument/2006/relationships/image" Target="media/image5.png" Id="rId16" /><Relationship Type="http://schemas.openxmlformats.org/officeDocument/2006/relationships/endnotes" Target="endnotes.xml" Id="rId11" /><Relationship Type="http://schemas.openxmlformats.org/officeDocument/2006/relationships/hyperlink" Target="https://anm.gov.co" TargetMode="External" Id="rId32" /><Relationship Type="http://schemas.openxmlformats.org/officeDocument/2006/relationships/hyperlink" Target="https://www.invias.gov.co/especiales/curos-malaga/docs/conpes/conpes_4010_301120.pdf" TargetMode="External" Id="rId37" /><Relationship Type="http://schemas.openxmlformats.org/officeDocument/2006/relationships/hyperlink" Target="https://siatac.co/Documentos/Atlas/conflictos/SINCHI029_V1_2024.pdf" TargetMode="External" Id="rId53" /><Relationship Type="http://schemas.openxmlformats.org/officeDocument/2006/relationships/hyperlink" Target="https://leyes.co/codigo_de_minas/11.htm" TargetMode="External" Id="rId58" /><Relationship Type="http://schemas.openxmlformats.org/officeDocument/2006/relationships/hyperlink" Target="https://apps1.semarnat.gob.mx:8443/dgeia/indicadores_verdes17/indicadores/02_productividad/2.1.1.html" TargetMode="External" Id="rId74" /><Relationship Type="http://schemas.openxmlformats.org/officeDocument/2006/relationships/hyperlink" Target="https://www.environment.gov.scot/our-environment/air/air-pollution-impacts-on-the-environment/" TargetMode="External" Id="rId79" /><Relationship Type="http://schemas.openxmlformats.org/officeDocument/2006/relationships/customXml" Target="../customXml/item5.xml" Id="rId5" /><Relationship Type="http://schemas.openxmlformats.org/officeDocument/2006/relationships/hyperlink" Target="https://www.uptc.edu.co/export/sites/default/facultades/f_sogamoso/pregrado/minas/documentos/DIQUES_TRANSVERSALES_METODO_DE_EXPLOTACIxN_MINERO_x_AMBIENTAL.pdf" TargetMode="External" Id="rId90" /><Relationship Type="http://schemas.openxmlformats.org/officeDocument/2006/relationships/footer" Target="footer2.xml" Id="rId95" /><Relationship Type="http://schemas.openxmlformats.org/officeDocument/2006/relationships/image" Target="media/image11.png" Id="rId22" /><Relationship Type="http://schemas.openxmlformats.org/officeDocument/2006/relationships/image" Target="media/image16.png" Id="rId27" /><Relationship Type="http://schemas.openxmlformats.org/officeDocument/2006/relationships/hyperlink" Target="https://dialnet.unirioja.es/descarga/articulo/8261815.pdf" TargetMode="External" Id="rId43" /><Relationship Type="http://schemas.openxmlformats.org/officeDocument/2006/relationships/hyperlink" Target="https://ridum.umanizales.edu.co/server/api/core/bitstreams/1d707fdb-351d-424f-940b-fe728b374a84/content" TargetMode="External" Id="rId48" /><Relationship Type="http://schemas.openxmlformats.org/officeDocument/2006/relationships/hyperlink" Target="https://minambiente.gov.co" TargetMode="External" Id="rId64" /><Relationship Type="http://schemas.openxmlformats.org/officeDocument/2006/relationships/hyperlink" Target="https://otca.org" TargetMode="External" Id="rId69" /><Relationship Type="http://schemas.openxmlformats.org/officeDocument/2006/relationships/hyperlink" Target="https://www.environment.gov.scot/our-environment/air/air-pollution-impacts-on-the-environment/" TargetMode="External" Id="rId80" /><Relationship Type="http://schemas.openxmlformats.org/officeDocument/2006/relationships/hyperlink" Target="http://www.ptolomeo.unam.mx:8080/xmlui/bitstream/handle/132.248.52.100/347/A5.pdf?sequence=5" TargetMode="External" Id="rId85" /><Relationship Type="http://schemas.openxmlformats.org/officeDocument/2006/relationships/customXml" Target="../customXml/item3.xml" Id="rId3" /><Relationship Type="http://schemas.openxmlformats.org/officeDocument/2006/relationships/image" Target="media/image1.png" Id="rId12" /><Relationship Type="http://schemas.openxmlformats.org/officeDocument/2006/relationships/image" Target="media/image6.png" Id="rId17" /><Relationship Type="http://schemas.openxmlformats.org/officeDocument/2006/relationships/image" Target="media/image14.png" Id="rId25" /><Relationship Type="http://schemas.openxmlformats.org/officeDocument/2006/relationships/hyperlink" Target="https://annamineria.anm.gov.co" TargetMode="External" Id="rId33" /><Relationship Type="http://schemas.openxmlformats.org/officeDocument/2006/relationships/hyperlink" Target="https://catarina.udlap.mx/u_dl_a/tales/documentos/lic/cossio_c_hj/capitulo5.pdf" TargetMode="External" Id="rId38" /><Relationship Type="http://schemas.openxmlformats.org/officeDocument/2006/relationships/hyperlink" Target="https://gaiaamazonas.org/amazonia-colombiana/" TargetMode="External" Id="rId46" /><Relationship Type="http://schemas.openxmlformats.org/officeDocument/2006/relationships/hyperlink" Target="https://1library.co/article/materiales-construcci%C3%B3n-arrastre-fallas-transversales-basamento.7qvox1gy" TargetMode="External" Id="rId59" /><Relationship Type="http://schemas.openxmlformats.org/officeDocument/2006/relationships/hyperlink" Target="https://miputumayo.com.co/2016/02/08/marginal-de-la-selva-la-kilometrica-via-que-unira-a-tres-paises/" TargetMode="External" Id="rId67" /><Relationship Type="http://schemas.openxmlformats.org/officeDocument/2006/relationships/image" Target="media/image9.png" Id="rId20" /><Relationship Type="http://schemas.openxmlformats.org/officeDocument/2006/relationships/hyperlink" Target="https://dnp.gov.co" TargetMode="External" Id="rId41" /><Relationship Type="http://schemas.openxmlformats.org/officeDocument/2006/relationships/hyperlink" Target="https://siatac.co/Documentos/Atlas/conflictos/SINCHI010_V2_2023.pdf" TargetMode="External" Id="rId54" /><Relationship Type="http://schemas.openxmlformats.org/officeDocument/2006/relationships/hyperlink" Target="https://repositorio.ucm.edu.co/server/api/core/bitstreams/00da657c-80c8-40b1-a6a8-7682e41202ef/content" TargetMode="External" Id="rId62" /><Relationship Type="http://schemas.openxmlformats.org/officeDocument/2006/relationships/hyperlink" Target="https://cancilleria.gov.co" TargetMode="External" Id="rId70" /><Relationship Type="http://schemas.openxmlformats.org/officeDocument/2006/relationships/hyperlink" Target="https://es.scienceaq.com/Geology/1003310384.html" TargetMode="External" Id="rId75" /><Relationship Type="http://schemas.openxmlformats.org/officeDocument/2006/relationships/hyperlink" Target="https://repositorio.unal.edu.co/bitstreams/1c861444-2ef2-4763-9497-5d47dc1719b4/download" TargetMode="External" Id="rId83" /><Relationship Type="http://schemas.openxmlformats.org/officeDocument/2006/relationships/hyperlink" Target="https://www.uptc.edu.co/export/sites/default/facultades/f_sogamoso/pregrado/minas/documentos/DIQUES_TRANSVERSALES_METODO_DE_EXPLOTACIxN_MINERO_x_AMBIENTAL.pdf" TargetMode="External" Id="rId88" /><Relationship Type="http://schemas.openxmlformats.org/officeDocument/2006/relationships/image" Target="media/image19.png" Id="rId91" /><Relationship Type="http://schemas.openxmlformats.org/officeDocument/2006/relationships/header" Target="header3.xml" Id="rId96"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image" Target="media/image4.png" Id="rId15" /><Relationship Type="http://schemas.openxmlformats.org/officeDocument/2006/relationships/image" Target="media/image12.png" Id="rId23" /><Relationship Type="http://schemas.openxmlformats.org/officeDocument/2006/relationships/image" Target="media/image17.png" Id="rId28" /><Relationship Type="http://schemas.openxmlformats.org/officeDocument/2006/relationships/hyperlink" Target="https://www.ani.gov.co/sites/default/files/documento_conpes_3610_concepto_favorable_para_endeudamiento_externo_par_la_construcion_de_variante_san_francisco_mocoa.pdf" TargetMode="External" Id="rId36" /><Relationship Type="http://schemas.openxmlformats.org/officeDocument/2006/relationships/hyperlink" Target="https://sinchi.org.co" TargetMode="External" Id="rId49" /><Relationship Type="http://schemas.openxmlformats.org/officeDocument/2006/relationships/hyperlink" Target="https://ipbes.net" TargetMode="External" Id="rId57" /><Relationship Type="http://schemas.openxmlformats.org/officeDocument/2006/relationships/footnotes" Target="footnotes.xml" Id="rId10" /><Relationship Type="http://schemas.openxmlformats.org/officeDocument/2006/relationships/hyperlink" Target="https://www.anm.gov.co/sites/default/files/DocumentosAnm/guia-materiales-de-arrastre.pdf" TargetMode="External" Id="rId31" /><Relationship Type="http://schemas.openxmlformats.org/officeDocument/2006/relationships/hyperlink" Target="https://diarionoticias.pe/ecosistemas/ecosistemas-fluviales-la-relacion-entre-los-rios-y-la-biodiversidad/" TargetMode="External" Id="rId44" /><Relationship Type="http://schemas.openxmlformats.org/officeDocument/2006/relationships/hyperlink" Target="https://siatac.co/Documentos/Atlas/conflictos/SINCHI029_V1_2024.pdf" TargetMode="External" Id="rId52" /><Relationship Type="http://schemas.openxmlformats.org/officeDocument/2006/relationships/hyperlink" Target="https://repository.umng.edu.co/server/api/core/bitstreams/c5c3273d-ac71-40a2-a966-044a82314d24/content" TargetMode="External" Id="rId60" /><Relationship Type="http://schemas.openxmlformats.org/officeDocument/2006/relationships/hyperlink" Target="https://eltiempo.com" TargetMode="External" Id="rId65" /><Relationship Type="http://schemas.openxmlformats.org/officeDocument/2006/relationships/hyperlink" Target="https://dialnet.unirioja.es/descarga/articulo/9960619.pdf" TargetMode="External" Id="rId73" /><Relationship Type="http://schemas.openxmlformats.org/officeDocument/2006/relationships/hyperlink" Target="https://siatac.co/Documentos/Atlas/conflictos/Conflictos%202024/14/SINCHI0014_V2_2024_compressed.pdf" TargetMode="External" Id="rId78" /><Relationship Type="http://schemas.openxmlformats.org/officeDocument/2006/relationships/hyperlink" Target="https://www.todopedia.online/materiales-petreos-naturales-rocas-y-granulares-clasificacion-caracteristicas-procedencia-y-aplicaciones-23384" TargetMode="External" Id="rId81" /><Relationship Type="http://schemas.openxmlformats.org/officeDocument/2006/relationships/hyperlink" Target="https://sired.udenar.edu.co/14727/1/60432.pdf" TargetMode="External" Id="rId86" /><Relationship Type="http://schemas.openxmlformats.org/officeDocument/2006/relationships/footer" Target="footer1.xml" Id="rId94" /><Relationship Type="http://schemas.openxmlformats.org/officeDocument/2006/relationships/theme" Target="theme/theme1.xml" Id="rId9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image" Target="media/image2.png" Id="rId13" /><Relationship Type="http://schemas.openxmlformats.org/officeDocument/2006/relationships/image" Target="media/image7.png" Id="rId18" /><Relationship Type="http://schemas.openxmlformats.org/officeDocument/2006/relationships/hyperlink" Target="https://cuencaputumayoica.com/la-mineria-ilegal-en-la-cuenca-putumayo-ica-impactos-y-desafios-para-la-conservacion/" TargetMode="External" Id="rId39" /><Relationship Type="http://schemas.openxmlformats.org/officeDocument/2006/relationships/hyperlink" Target="https://www.anla.gov.co/proyectos-de-interes-en-evaluacion/pie-explotacion-y-produccion-materiales-arrastre-rio-saldana" TargetMode="External" Id="rId34" /><Relationship Type="http://schemas.openxmlformats.org/officeDocument/2006/relationships/hyperlink" Target="https://minsus.net" TargetMode="External" Id="rId50" /><Relationship Type="http://schemas.openxmlformats.org/officeDocument/2006/relationships/hyperlink" Target="https://sinchi.org.co/index.php/mineria-impactos-sociales-en-la-amazonia" TargetMode="External" Id="rId55" /><Relationship Type="http://schemas.openxmlformats.org/officeDocument/2006/relationships/hyperlink" Target="https://siatac.co/atlas-voces-del-territorio-de-alto-putumayo/" TargetMode="External" Id="rId76" /><Relationship Type="http://schemas.openxmlformats.org/officeDocument/2006/relationships/footer" Target="footer3.xml" Id="rId97" /><Relationship Type="http://schemas.openxmlformats.org/officeDocument/2006/relationships/styles" Target="styles.xml" Id="rId7" /><Relationship Type="http://schemas.openxmlformats.org/officeDocument/2006/relationships/hyperlink" Target="https://paduamateriales.com/materiales-de-la-construccion-definicion-composicion/" TargetMode="External" Id="rId71" /><Relationship Type="http://schemas.openxmlformats.org/officeDocument/2006/relationships/header" Target="header1.xml" Id="rId92" /><Relationship Type="http://schemas.openxmlformats.org/officeDocument/2006/relationships/customXml" Target="../customXml/item2.xml" Id="rId2" /><Relationship Type="http://schemas.openxmlformats.org/officeDocument/2006/relationships/image" Target="media/image18.png" Id="rId29" /><Relationship Type="http://schemas.openxmlformats.org/officeDocument/2006/relationships/image" Target="media/image13.png" Id="rId24" /><Relationship Type="http://schemas.openxmlformats.org/officeDocument/2006/relationships/hyperlink" Target="https://www.clubensayos.com/Informes-de-Libros/INFORME-CUENCA-RIO-CAQUETA/3832049.html" TargetMode="External" Id="rId40" /><Relationship Type="http://schemas.openxmlformats.org/officeDocument/2006/relationships/hyperlink" Target="https://estudioiambiental.com/mineria/acerca-de-la-guia-buenas-practicas-materiales-de-arrastre/" TargetMode="External" Id="rId45" /><Relationship Type="http://schemas.openxmlformats.org/officeDocument/2006/relationships/hyperlink" Target="https://www.mininterior.gov.co/normativas/explotacion-de-material-de-arrastre-sector-del-rio-caqueta-del-putumayo-municipio-de-puerto-guzman-vereda-el-muelle/" TargetMode="External" Id="rId66" /><Relationship Type="http://schemas.openxmlformats.org/officeDocument/2006/relationships/hyperlink" Target="https://repositorio.unal.edu.co/bitstreams/1c861444-2ef2-4763-9497-5d47dc1719b4/download" TargetMode="External" Id="rId87" /><Relationship Type="http://schemas.openxmlformats.org/officeDocument/2006/relationships/hyperlink" Target="https://repositorio.ucm.edu.co/server/api/core/bitstreams/fef68bf3-d482-4b22-998e-5f356496a68d/content" TargetMode="External" Id="rId61" /><Relationship Type="http://schemas.openxmlformats.org/officeDocument/2006/relationships/hyperlink" Target="https://tecnoreportaje.com/actualidad/como-se-clasifican-los-materiales-de-construccion-segun-su-origen/" TargetMode="External" Id="rId82" /><Relationship Type="http://schemas.openxmlformats.org/officeDocument/2006/relationships/image" Target="media/image8.png" Id="rId19" /><Relationship Type="http://schemas.openxmlformats.org/officeDocument/2006/relationships/image" Target="media/image3.png" Id="rId14" /><Relationship Type="http://schemas.openxmlformats.org/officeDocument/2006/relationships/hyperlink" Target="https://www.anm.gov.co/sites/default/files/DocumentosAnm/guia-materiales-de-arrastre.pdf" TargetMode="External" Id="rId30" /><Relationship Type="http://schemas.openxmlformats.org/officeDocument/2006/relationships/hyperlink" Target="https://bing.com/search?q=estabilizaci%c3%b3n+de+cauces+fluviales+por+sedimentos+y+agregados" TargetMode="External" Id="rId35" /><Relationship Type="http://schemas.openxmlformats.org/officeDocument/2006/relationships/hyperlink" Target="http://www.iirsa.org/proyectos/detalle_proyecto.aspx?h=2&amp;x=9" TargetMode="External" Id="rId56" /><Relationship Type="http://schemas.openxmlformats.org/officeDocument/2006/relationships/hyperlink" Target="https://doi.org/10.1007/978-94-009-6542-3_5" TargetMode="External" Id="rId77" /><Relationship Type="http://schemas.openxmlformats.org/officeDocument/2006/relationships/settings" Target="settings.xml" Id="rId8" /><Relationship Type="http://schemas.openxmlformats.org/officeDocument/2006/relationships/hyperlink" Target="https://observatorioamazonia.fcds.org.co" TargetMode="External" Id="rId51" /><Relationship Type="http://schemas.openxmlformats.org/officeDocument/2006/relationships/hyperlink" Target="https://atlas2020.amazoniasocioambiental.org" TargetMode="External" Id="rId72" /><Relationship Type="http://schemas.openxmlformats.org/officeDocument/2006/relationships/header" Target="header2.xml" Id="rId93" /><Relationship Type="http://schemas.openxmlformats.org/officeDocument/2006/relationships/fontTable" Target="fontTable.xml" Id="rId98" /></Relationships>
</file>

<file path=word/_rels/footer2.xml.rels>&#65279;<?xml version="1.0" encoding="utf-8"?><Relationships xmlns="http://schemas.openxmlformats.org/package/2006/relationships"><Relationship Type="http://schemas.openxmlformats.org/officeDocument/2006/relationships/image" Target="/media/image15.png" Id="rId415330947" /></Relationships>
</file>

<file path=word/_rels/footnotes.xml.rels><?xml version="1.0" encoding="UTF-8" standalone="yes"?>
<Relationships xmlns="http://schemas.openxmlformats.org/package/2006/relationships"><Relationship Id="rId13" Type="http://schemas.openxmlformats.org/officeDocument/2006/relationships/hyperlink" Target="https://www.anla.gov.co/proyectos-de-interes-en-evaluacion/pie-explotacion-y-produccion-materiales-arrastre-rio-saldana" TargetMode="External"/><Relationship Id="rId18" Type="http://schemas.openxmlformats.org/officeDocument/2006/relationships/hyperlink" Target="https://bffrepositorio.unal.edu.co/server/api/core/bitstreams/1c861444-2ef2-4763-9497-5d47dc1719b4/content" TargetMode="External"/><Relationship Id="rId26" Type="http://schemas.openxmlformats.org/officeDocument/2006/relationships/hyperlink" Target="https://apps1.semarnat.gob.mx:8443/dgeia/indicadores_verdes17/indicadores/02_productividad/2.1.1.html" TargetMode="External"/><Relationship Id="rId39" Type="http://schemas.openxmlformats.org/officeDocument/2006/relationships/hyperlink" Target="https://siatac.co/Documentos/Atlas/conflictos/SINCHI029_V1_2024.pdf" TargetMode="External"/><Relationship Id="rId21" Type="http://schemas.openxmlformats.org/officeDocument/2006/relationships/hyperlink" Target="https://doi.org/10.12804/revistas.urosario.edu.co/sociojuridicos/a.8663" TargetMode="External"/><Relationship Id="rId34" Type="http://schemas.openxmlformats.org/officeDocument/2006/relationships/hyperlink" Target="https://siatac.co/atlas-voces-del-territorio-de-alto-putumayo/" TargetMode="External"/><Relationship Id="rId42" Type="http://schemas.openxmlformats.org/officeDocument/2006/relationships/hyperlink" Target="https://siatac.co/Documentos/Atlas/conflictos/SINCHI010_V2_2023.pdf" TargetMode="External"/><Relationship Id="rId47" Type="http://schemas.openxmlformats.org/officeDocument/2006/relationships/hyperlink" Target="https://siatac.co/Documentos/Atlas/conflictos/SINCHI029_V1_2024.pdf" TargetMode="External"/><Relationship Id="rId50" Type="http://schemas.openxmlformats.org/officeDocument/2006/relationships/hyperlink" Target="https://repositorio.ucm.edu.co/server/api/core/bitstreams/fef68bf3-d482-4b22-998e-5f356496a68d/content" TargetMode="External"/><Relationship Id="rId7" Type="http://schemas.openxmlformats.org/officeDocument/2006/relationships/hyperlink" Target="https://1library.co/article/materiales-construcci%C3%B3n-arrastre-fallas-transversales-basamento.7qvox1gy" TargetMode="External"/><Relationship Id="rId2" Type="http://schemas.openxmlformats.org/officeDocument/2006/relationships/hyperlink" Target="https://materialesdeconstruccion.pro/que-es-material-de-construccion/" TargetMode="External"/><Relationship Id="rId16" Type="http://schemas.openxmlformats.org/officeDocument/2006/relationships/hyperlink" Target="https://siatac.co/Documentos/Atlas/conflictos/SINCHI029_V1_2024.pdf" TargetMode="External"/><Relationship Id="rId29" Type="http://schemas.openxmlformats.org/officeDocument/2006/relationships/hyperlink" Target="https://repository.umng.edu.co/server/api/core/bitstreams/c5c3273d-ac71-40a2-a966-044a82314d24/content" TargetMode="External"/><Relationship Id="rId11" Type="http://schemas.openxmlformats.org/officeDocument/2006/relationships/hyperlink" Target="https://estudioiambiental.com/mineria/acerca-de-la-guia-buenas-practicas-materiales-de-arrastre/" TargetMode="External"/><Relationship Id="rId24" Type="http://schemas.openxmlformats.org/officeDocument/2006/relationships/hyperlink" Target="https://www.clubensayos.com/Informes-de-Libros/INFORME-CUENCA-RIO-CAQUETA/3832049.html" TargetMode="External"/><Relationship Id="rId32" Type="http://schemas.openxmlformats.org/officeDocument/2006/relationships/hyperlink" Target="https://ierna.sinchi.org.co/informe/01-tasa-media-anual-de-perdida-de-bosques-tmapb-2020/" TargetMode="External"/><Relationship Id="rId37" Type="http://schemas.openxmlformats.org/officeDocument/2006/relationships/hyperlink" Target="https://siatac.co/Documentos/Atlas/conflictos/SINCHI029_V1_2024.pdf" TargetMode="External"/><Relationship Id="rId40" Type="http://schemas.openxmlformats.org/officeDocument/2006/relationships/hyperlink" Target="https://siatac.co/Documentos/Atlas/conflictos/SINCHI010_V2_2023.pdf" TargetMode="External"/><Relationship Id="rId45" Type="http://schemas.openxmlformats.org/officeDocument/2006/relationships/hyperlink" Target="https://siatac.co/Documentos/Atlas/conflictos/SINCHI029_V1_2024.pdf" TargetMode="External"/><Relationship Id="rId5" Type="http://schemas.openxmlformats.org/officeDocument/2006/relationships/hyperlink" Target="https://materialesdeconstruccion.net/rocas/tipos-de-rocas/" TargetMode="External"/><Relationship Id="rId15" Type="http://schemas.openxmlformats.org/officeDocument/2006/relationships/hyperlink" Target="https://sired.udenar.edu.co/14727/1/60432.pdf" TargetMode="External"/><Relationship Id="rId23" Type="http://schemas.openxmlformats.org/officeDocument/2006/relationships/hyperlink" Target="https://repositorio.gestiondelriesgo.gov.co:8443/handle/20.500.11762/22579" TargetMode="External"/><Relationship Id="rId28" Type="http://schemas.openxmlformats.org/officeDocument/2006/relationships/hyperlink" Target="https://www.environment.gov.scot/our-environment/air/air-pollution-impacts-on-the-environment/" TargetMode="External"/><Relationship Id="rId36" Type="http://schemas.openxmlformats.org/officeDocument/2006/relationships/hyperlink" Target="https://siatac.co/Documentos/Atlas/conflictos/SINCHI010_V2_2023.pdf" TargetMode="External"/><Relationship Id="rId49" Type="http://schemas.openxmlformats.org/officeDocument/2006/relationships/hyperlink" Target="https://ridum.umanizales.edu.co/server/api/core/bitstreams/1d707fdb-351d-424f-940b-fe728b374a84/content" TargetMode="External"/><Relationship Id="rId10" Type="http://schemas.openxmlformats.org/officeDocument/2006/relationships/hyperlink" Target="https://leyes.co/codigo_de_minas/11.htm" TargetMode="External"/><Relationship Id="rId19" Type="http://schemas.openxmlformats.org/officeDocument/2006/relationships/hyperlink" Target="https://cortolima.gov.co/images/POMCA/Rio_Coello/1fase/RECOPILACION_Y_ANALISIS_DE_LA_INFORMACION.pdf" TargetMode="External"/><Relationship Id="rId31" Type="http://schemas.openxmlformats.org/officeDocument/2006/relationships/hyperlink" Target="https://gaiaamazonas.org/amazonia-colombiana/" TargetMode="External"/><Relationship Id="rId44" Type="http://schemas.openxmlformats.org/officeDocument/2006/relationships/hyperlink" Target="https://siatac.co/Documentos/Atlas/conflictos/SINCHI010_V2_2023.pdf" TargetMode="External"/><Relationship Id="rId4" Type="http://schemas.openxmlformats.org/officeDocument/2006/relationships/hyperlink" Target="https://www.todopedia.online/materiales-petreos-naturales-rocas-y-granulares-clasificacion-caracteristicas-procedencia-y-aplicaciones-23384" TargetMode="External"/><Relationship Id="rId9" Type="http://schemas.openxmlformats.org/officeDocument/2006/relationships/hyperlink" Target="https://estudioiambiental.com/mineria/acerca-de-la-guia-buenas-practicas-materiales-de-arrastre/" TargetMode="External"/><Relationship Id="rId14" Type="http://schemas.openxmlformats.org/officeDocument/2006/relationships/hyperlink" Target="https://repositorio.unal.edu.co/bitstreams/1c861444-2ef2-4763-9497-5d47dc1719b4/download" TargetMode="External"/><Relationship Id="rId22" Type="http://schemas.openxmlformats.org/officeDocument/2006/relationships/hyperlink" Target="https://www.sinchi.org.co/files/publicaciones/novedades%20editoriales/pdf/Mineri%CC%81a%20en%20la%20Amazonia%20%28LowRes%29.pdf?utm_source=chatgpt.com" TargetMode="External"/><Relationship Id="rId27" Type="http://schemas.openxmlformats.org/officeDocument/2006/relationships/hyperlink" Target="https://www.environment.gov.scot/our-environment/air/air-pollution-impacts-on-the-environment/" TargetMode="External"/><Relationship Id="rId30" Type="http://schemas.openxmlformats.org/officeDocument/2006/relationships/hyperlink" Target="https://repositorio.ucm.edu.co/server/api/core/bitstreams/00da657c-80c8-40b1-a6a8-7682e41202ef/content" TargetMode="External"/><Relationship Id="rId35" Type="http://schemas.openxmlformats.org/officeDocument/2006/relationships/hyperlink" Target="https://siatac.co/Documentos/Atlas/conflictos/SINCHI029_V1_2024.pdf" TargetMode="External"/><Relationship Id="rId43" Type="http://schemas.openxmlformats.org/officeDocument/2006/relationships/hyperlink" Target="https://siatac.co/Documentos/Atlas/conflictos/SINCHI029_V1_2024.pdf" TargetMode="External"/><Relationship Id="rId48" Type="http://schemas.openxmlformats.org/officeDocument/2006/relationships/hyperlink" Target="https://siatac.co/Documentos/Atlas/conflictos/SINCHI010_V2_2023.pdf" TargetMode="External"/><Relationship Id="rId8" Type="http://schemas.openxmlformats.org/officeDocument/2006/relationships/hyperlink" Target="https://www.anm.gov.co/sites/default/files/DocumentosAnm/guia-materiales-de-arrastre.pdf" TargetMode="External"/><Relationship Id="rId51" Type="http://schemas.openxmlformats.org/officeDocument/2006/relationships/hyperlink" Target="https://doi.org/10.21158/23823399.v9.n0.2021.2943" TargetMode="External"/><Relationship Id="rId3" Type="http://schemas.openxmlformats.org/officeDocument/2006/relationships/hyperlink" Target="https://leyes.co/codigo_de_minas/11.htm" TargetMode="External"/><Relationship Id="rId12" Type="http://schemas.openxmlformats.org/officeDocument/2006/relationships/hyperlink" Target="https://sinchi.org.co/index.php/mineria-impactos-sociales-en-la-amazonia" TargetMode="External"/><Relationship Id="rId17" Type="http://schemas.openxmlformats.org/officeDocument/2006/relationships/hyperlink" Target="https://www.anla.gov.co/proyectos-de-interes-en-evaluacion/pie-explotacion-y-produccion-materiales-arrastre-rio-saldana" TargetMode="External"/><Relationship Id="rId25" Type="http://schemas.openxmlformats.org/officeDocument/2006/relationships/hyperlink" Target="https://siatac.co/atlas-voces-del-territorio-de-alto-putumayo/" TargetMode="External"/><Relationship Id="rId33" Type="http://schemas.openxmlformats.org/officeDocument/2006/relationships/hyperlink" Target="https://siatac.co/atlas-voces-del-territorio-de-alto-putumayo/" TargetMode="External"/><Relationship Id="rId38" Type="http://schemas.openxmlformats.org/officeDocument/2006/relationships/hyperlink" Target="https://siatac.co/Documentos/Atlas/conflictos/SINCHI010_V2_2023.pdf" TargetMode="External"/><Relationship Id="rId46" Type="http://schemas.openxmlformats.org/officeDocument/2006/relationships/hyperlink" Target="https://siatac.co/Documentos/Atlas/conflictos/SINCHI010_V2_2023.pdf" TargetMode="External"/><Relationship Id="rId20" Type="http://schemas.openxmlformats.org/officeDocument/2006/relationships/hyperlink" Target="https://www.anm.gov.co/sites/default/files/DocumentosAnm/procedimiento_eliminacion_de_documentos_final_09072018_0.pdf" TargetMode="External"/><Relationship Id="rId41" Type="http://schemas.openxmlformats.org/officeDocument/2006/relationships/hyperlink" Target="https://siatac.co/Documentos/Atlas/conflictos/SINCHI029_V1_2024.pdf" TargetMode="External"/><Relationship Id="rId1" Type="http://schemas.openxmlformats.org/officeDocument/2006/relationships/hyperlink" Target="https://paduamateriales.com/materiales-de-la-construccion-definicion-composicion/" TargetMode="External"/><Relationship Id="rId6" Type="http://schemas.openxmlformats.org/officeDocument/2006/relationships/hyperlink" Target="https://repositorio.unal.edu.co/bitstreams/1c861444-2ef2-4763-9497-5d47dc1719b4/download"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d0eb54b-ed74-4015-9471-3cb1cdbbf6c9">
      <Terms xmlns="http://schemas.microsoft.com/office/infopath/2007/PartnerControls"/>
    </lcf76f155ced4ddcb4097134ff3c332f>
    <TaxCatchAll xmlns="3b49c8c8-e26a-41ee-aa49-e613427f3cfc" xsi:nil="true"/>
  </documentManagement>
</p:properti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ct:contentTypeSchema xmlns:ct="http://schemas.microsoft.com/office/2006/metadata/contentType" xmlns:ma="http://schemas.microsoft.com/office/2006/metadata/properties/metaAttributes" ct:_="" ma:_="" ma:contentTypeName="Documento" ma:contentTypeID="0x0101000640C07C9AFB3645AB1E389606244E39" ma:contentTypeVersion="13" ma:contentTypeDescription="Crear nuevo documento." ma:contentTypeScope="" ma:versionID="b750e710ee4edc2622a36142fe193cc4">
  <xsd:schema xmlns:xsd="http://www.w3.org/2001/XMLSchema" xmlns:xs="http://www.w3.org/2001/XMLSchema" xmlns:p="http://schemas.microsoft.com/office/2006/metadata/properties" xmlns:ns2="fd0eb54b-ed74-4015-9471-3cb1cdbbf6c9" xmlns:ns3="3b49c8c8-e26a-41ee-aa49-e613427f3cfc" targetNamespace="http://schemas.microsoft.com/office/2006/metadata/properties" ma:root="true" ma:fieldsID="8650b77ce4974287425708cbb7d86f80" ns2:_="" ns3:_="">
    <xsd:import namespace="fd0eb54b-ed74-4015-9471-3cb1cdbbf6c9"/>
    <xsd:import namespace="3b49c8c8-e26a-41ee-aa49-e613427f3cf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0eb54b-ed74-4015-9471-3cb1cdbbf6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49c8c8-e26a-41ee-aa49-e613427f3cf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b71c658-cea9-4a93-a409-ff9b678b2409}" ma:internalName="TaxCatchAll" ma:showField="CatchAllData" ma:web="3b49c8c8-e26a-41ee-aa49-e613427f3c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F8A5A8-8E8A-4CE4-9BD8-56A2C14777CB}">
  <ds:schemaRefs>
    <ds:schemaRef ds:uri="http://schemas.microsoft.com/office/2006/metadata/properties"/>
    <ds:schemaRef ds:uri="http://schemas.microsoft.com/office/infopath/2007/PartnerControls"/>
    <ds:schemaRef ds:uri="fd0eb54b-ed74-4015-9471-3cb1cdbbf6c9"/>
    <ds:schemaRef ds:uri="3b49c8c8-e26a-41ee-aa49-e613427f3cfc"/>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B12E9E0F-6249-40DA-93B4-F5BE38AA99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0eb54b-ed74-4015-9471-3cb1cdbbf6c9"/>
    <ds:schemaRef ds:uri="3b49c8c8-e26a-41ee-aa49-e613427f3c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D496855-C358-465C-8AF6-3F284E6422DF}">
  <ds:schemaRefs>
    <ds:schemaRef ds:uri="http://schemas.microsoft.com/sharepoint/v3/contenttype/forms"/>
  </ds:schemaRefs>
</ds:datastoreItem>
</file>

<file path=customXml/itemProps5.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python-docx</dc:creator>
  <dc:description>generated by python-docx</dc:description>
  <lastModifiedBy>CARLOS HERNAN CASTRO ALMARIO</lastModifiedBy>
  <revision>8</revision>
  <lastPrinted>2025-12-14T04:06:00.0000000Z</lastPrinted>
  <dcterms:created xsi:type="dcterms:W3CDTF">2025-12-14T20:38:00.0000000Z</dcterms:created>
  <dcterms:modified xsi:type="dcterms:W3CDTF">2025-12-15T16:56:08.4928207Z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0x0101000640C07C9AFB3645AB1E389606244E39</vt:lpwstr>
  </property>
  <property fmtid="{D5CDD505-2E9C-101B-9397-08002B2CF9AE}" pid="3" name="MediaServiceImageTags">
    <vt:lpwstr/>
  </property>
  <property fmtid="{D5CDD505-2E9C-101B-9397-08002B2CF9AE}" pid="4" name="KSOProductBuildVer">
    <vt:lpwstr>3082-12.2.0.23155</vt:lpwstr>
  </property>
  <property fmtid="{D5CDD505-2E9C-101B-9397-08002B2CF9AE}" pid="5" name="ICV">
    <vt:lpwstr>6F6E68AC20814185B94943DF5EEC26FC_13</vt:lpwstr>
  </property>
</Properties>
</file>